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682"/>
        <w:gridCol w:w="3268"/>
        <w:gridCol w:w="990"/>
      </w:tblGrid>
      <w:tr w:rsidR="00D756F3" w:rsidRPr="001870E6" w14:paraId="278FE2A0" w14:textId="77777777" w:rsidTr="00C54A1D">
        <w:tc>
          <w:tcPr>
            <w:tcW w:w="3121" w:type="dxa"/>
            <w:shd w:val="clear" w:color="auto" w:fill="auto"/>
          </w:tcPr>
          <w:p w14:paraId="2378F07A" w14:textId="77777777" w:rsidR="00D756F3" w:rsidRPr="001870E6" w:rsidRDefault="00D756F3" w:rsidP="00F5006B">
            <w:pPr>
              <w:jc w:val="both"/>
              <w:rPr>
                <w:rFonts w:ascii="Arial" w:hAnsi="Arial" w:cs="Arial"/>
                <w:b/>
                <w:lang w:eastAsia="en-US"/>
              </w:rPr>
            </w:pPr>
          </w:p>
        </w:tc>
        <w:tc>
          <w:tcPr>
            <w:tcW w:w="709" w:type="dxa"/>
            <w:shd w:val="clear" w:color="auto" w:fill="auto"/>
          </w:tcPr>
          <w:p w14:paraId="71AE48F1" w14:textId="77777777" w:rsidR="00D756F3" w:rsidRPr="001870E6" w:rsidRDefault="00D756F3" w:rsidP="00F5006B">
            <w:pPr>
              <w:jc w:val="both"/>
              <w:rPr>
                <w:rFonts w:ascii="Arial" w:hAnsi="Arial" w:cs="Arial"/>
                <w:lang w:eastAsia="en-US"/>
              </w:rPr>
            </w:pPr>
          </w:p>
        </w:tc>
        <w:tc>
          <w:tcPr>
            <w:tcW w:w="1559" w:type="dxa"/>
            <w:shd w:val="clear" w:color="auto" w:fill="auto"/>
          </w:tcPr>
          <w:p w14:paraId="46313079" w14:textId="77777777" w:rsidR="00D756F3" w:rsidRPr="001870E6" w:rsidRDefault="00D756F3" w:rsidP="00F5006B">
            <w:pPr>
              <w:jc w:val="both"/>
              <w:rPr>
                <w:rFonts w:ascii="Arial" w:hAnsi="Arial" w:cs="Arial"/>
                <w:lang w:eastAsia="en-US"/>
              </w:rPr>
            </w:pPr>
          </w:p>
        </w:tc>
        <w:tc>
          <w:tcPr>
            <w:tcW w:w="303" w:type="dxa"/>
            <w:shd w:val="clear" w:color="auto" w:fill="auto"/>
          </w:tcPr>
          <w:p w14:paraId="681D7396" w14:textId="77777777" w:rsidR="00D756F3" w:rsidRPr="001870E6" w:rsidRDefault="00D756F3" w:rsidP="00F5006B">
            <w:pPr>
              <w:jc w:val="both"/>
              <w:rPr>
                <w:rFonts w:ascii="Arial" w:hAnsi="Arial" w:cs="Arial"/>
                <w:lang w:eastAsia="en-US"/>
              </w:rPr>
            </w:pPr>
          </w:p>
        </w:tc>
        <w:tc>
          <w:tcPr>
            <w:tcW w:w="682" w:type="dxa"/>
            <w:shd w:val="clear" w:color="auto" w:fill="auto"/>
          </w:tcPr>
          <w:p w14:paraId="4CE83555" w14:textId="77777777" w:rsidR="00D756F3" w:rsidRPr="001870E6" w:rsidRDefault="00D756F3" w:rsidP="00F5006B">
            <w:pPr>
              <w:jc w:val="both"/>
              <w:rPr>
                <w:rFonts w:ascii="Arial" w:hAnsi="Arial" w:cs="Arial"/>
                <w:lang w:eastAsia="en-US"/>
              </w:rPr>
            </w:pPr>
          </w:p>
        </w:tc>
        <w:tc>
          <w:tcPr>
            <w:tcW w:w="3268" w:type="dxa"/>
            <w:shd w:val="clear" w:color="auto" w:fill="auto"/>
            <w:hideMark/>
          </w:tcPr>
          <w:p w14:paraId="0352D0AE" w14:textId="77777777" w:rsidR="00D756F3" w:rsidRPr="001870E6" w:rsidRDefault="00D756F3" w:rsidP="00F5006B">
            <w:pPr>
              <w:jc w:val="both"/>
              <w:rPr>
                <w:rFonts w:ascii="Arial" w:hAnsi="Arial" w:cs="Arial"/>
                <w:b/>
                <w:lang w:eastAsia="en-US"/>
              </w:rPr>
            </w:pPr>
            <w:r w:rsidRPr="001870E6">
              <w:rPr>
                <w:rFonts w:ascii="Arial" w:hAnsi="Arial" w:cs="Arial"/>
                <w:b/>
                <w:lang w:eastAsia="en-US"/>
              </w:rPr>
              <w:t>PATVIRTINTA</w:t>
            </w:r>
          </w:p>
        </w:tc>
        <w:tc>
          <w:tcPr>
            <w:tcW w:w="990" w:type="dxa"/>
            <w:shd w:val="clear" w:color="auto" w:fill="auto"/>
          </w:tcPr>
          <w:p w14:paraId="1B1C4BAD" w14:textId="77777777" w:rsidR="00D756F3" w:rsidRPr="001870E6" w:rsidRDefault="00D756F3" w:rsidP="00F5006B">
            <w:pPr>
              <w:jc w:val="both"/>
              <w:rPr>
                <w:rFonts w:ascii="Arial" w:hAnsi="Arial" w:cs="Arial"/>
                <w:lang w:eastAsia="en-US"/>
              </w:rPr>
            </w:pPr>
          </w:p>
        </w:tc>
      </w:tr>
      <w:tr w:rsidR="00D756F3" w:rsidRPr="001870E6" w14:paraId="18931E20" w14:textId="77777777" w:rsidTr="00C54A1D">
        <w:tc>
          <w:tcPr>
            <w:tcW w:w="3121" w:type="dxa"/>
            <w:shd w:val="clear" w:color="auto" w:fill="auto"/>
          </w:tcPr>
          <w:p w14:paraId="55F5D623" w14:textId="77777777" w:rsidR="00D756F3" w:rsidRPr="001870E6" w:rsidRDefault="00D756F3" w:rsidP="00F5006B">
            <w:pPr>
              <w:jc w:val="both"/>
              <w:rPr>
                <w:rFonts w:ascii="Arial" w:hAnsi="Arial" w:cs="Arial"/>
                <w:lang w:eastAsia="en-US"/>
              </w:rPr>
            </w:pPr>
          </w:p>
        </w:tc>
        <w:tc>
          <w:tcPr>
            <w:tcW w:w="709" w:type="dxa"/>
            <w:shd w:val="clear" w:color="auto" w:fill="auto"/>
          </w:tcPr>
          <w:p w14:paraId="5324D787" w14:textId="77777777" w:rsidR="00D756F3" w:rsidRPr="001870E6" w:rsidRDefault="00D756F3" w:rsidP="00F5006B">
            <w:pPr>
              <w:jc w:val="both"/>
              <w:rPr>
                <w:rFonts w:ascii="Arial" w:hAnsi="Arial" w:cs="Arial"/>
                <w:lang w:eastAsia="en-US"/>
              </w:rPr>
            </w:pPr>
          </w:p>
        </w:tc>
        <w:tc>
          <w:tcPr>
            <w:tcW w:w="1559" w:type="dxa"/>
            <w:shd w:val="clear" w:color="auto" w:fill="auto"/>
          </w:tcPr>
          <w:p w14:paraId="476D3594" w14:textId="77777777" w:rsidR="00D756F3" w:rsidRPr="001870E6" w:rsidRDefault="00D756F3" w:rsidP="00F5006B">
            <w:pPr>
              <w:jc w:val="both"/>
              <w:rPr>
                <w:rFonts w:ascii="Arial" w:hAnsi="Arial" w:cs="Arial"/>
                <w:lang w:eastAsia="en-US"/>
              </w:rPr>
            </w:pPr>
          </w:p>
        </w:tc>
        <w:tc>
          <w:tcPr>
            <w:tcW w:w="303" w:type="dxa"/>
            <w:shd w:val="clear" w:color="auto" w:fill="auto"/>
          </w:tcPr>
          <w:p w14:paraId="43AD38F2" w14:textId="77777777" w:rsidR="00D756F3" w:rsidRPr="001870E6" w:rsidRDefault="00D756F3" w:rsidP="00F5006B">
            <w:pPr>
              <w:jc w:val="both"/>
              <w:rPr>
                <w:rFonts w:ascii="Arial" w:hAnsi="Arial" w:cs="Arial"/>
                <w:lang w:eastAsia="en-US"/>
              </w:rPr>
            </w:pPr>
          </w:p>
        </w:tc>
        <w:tc>
          <w:tcPr>
            <w:tcW w:w="682" w:type="dxa"/>
            <w:shd w:val="clear" w:color="auto" w:fill="auto"/>
          </w:tcPr>
          <w:p w14:paraId="676E6F02" w14:textId="77777777" w:rsidR="00D756F3" w:rsidRPr="001870E6" w:rsidRDefault="00D756F3" w:rsidP="00F5006B">
            <w:pPr>
              <w:jc w:val="both"/>
              <w:rPr>
                <w:rFonts w:ascii="Arial" w:hAnsi="Arial" w:cs="Arial"/>
                <w:lang w:eastAsia="en-US"/>
              </w:rPr>
            </w:pPr>
          </w:p>
        </w:tc>
        <w:tc>
          <w:tcPr>
            <w:tcW w:w="3268" w:type="dxa"/>
            <w:shd w:val="clear" w:color="auto" w:fill="auto"/>
            <w:hideMark/>
          </w:tcPr>
          <w:p w14:paraId="12A58A6D" w14:textId="16746EAF" w:rsidR="00D756F3" w:rsidRPr="001870E6" w:rsidRDefault="00D756F3" w:rsidP="00F5006B">
            <w:pPr>
              <w:jc w:val="both"/>
              <w:rPr>
                <w:rFonts w:ascii="Arial" w:hAnsi="Arial" w:cs="Arial"/>
                <w:lang w:eastAsia="en-US"/>
              </w:rPr>
            </w:pPr>
            <w:r w:rsidRPr="001870E6">
              <w:rPr>
                <w:rFonts w:ascii="Arial" w:hAnsi="Arial" w:cs="Arial"/>
                <w:lang w:eastAsia="en-US"/>
              </w:rPr>
              <w:t>LITGRID AB 20</w:t>
            </w:r>
            <w:r w:rsidR="00C74F74">
              <w:rPr>
                <w:rFonts w:ascii="Arial" w:hAnsi="Arial" w:cs="Arial"/>
                <w:lang w:eastAsia="en-US"/>
              </w:rPr>
              <w:t xml:space="preserve">21 </w:t>
            </w:r>
            <w:r w:rsidRPr="001870E6">
              <w:rPr>
                <w:rFonts w:ascii="Arial" w:hAnsi="Arial" w:cs="Arial"/>
                <w:lang w:eastAsia="en-US"/>
              </w:rPr>
              <w:t>m.</w:t>
            </w:r>
          </w:p>
        </w:tc>
        <w:tc>
          <w:tcPr>
            <w:tcW w:w="990" w:type="dxa"/>
            <w:shd w:val="clear" w:color="auto" w:fill="auto"/>
          </w:tcPr>
          <w:p w14:paraId="73BC443F" w14:textId="77777777" w:rsidR="00D756F3" w:rsidRPr="001870E6" w:rsidRDefault="00D756F3" w:rsidP="00F5006B">
            <w:pPr>
              <w:jc w:val="both"/>
              <w:rPr>
                <w:rFonts w:ascii="Arial" w:hAnsi="Arial" w:cs="Arial"/>
                <w:lang w:eastAsia="en-US"/>
              </w:rPr>
            </w:pPr>
          </w:p>
        </w:tc>
      </w:tr>
      <w:tr w:rsidR="00D756F3" w:rsidRPr="001870E6" w14:paraId="74451E47" w14:textId="77777777" w:rsidTr="00C54A1D">
        <w:tc>
          <w:tcPr>
            <w:tcW w:w="3121" w:type="dxa"/>
            <w:shd w:val="clear" w:color="auto" w:fill="auto"/>
          </w:tcPr>
          <w:p w14:paraId="5EF76134" w14:textId="77777777" w:rsidR="00D756F3" w:rsidRPr="001870E6" w:rsidRDefault="00D756F3" w:rsidP="00F5006B">
            <w:pPr>
              <w:jc w:val="both"/>
              <w:rPr>
                <w:rFonts w:ascii="Arial" w:hAnsi="Arial" w:cs="Arial"/>
                <w:lang w:eastAsia="en-US"/>
              </w:rPr>
            </w:pPr>
          </w:p>
        </w:tc>
        <w:tc>
          <w:tcPr>
            <w:tcW w:w="709" w:type="dxa"/>
            <w:shd w:val="clear" w:color="auto" w:fill="auto"/>
          </w:tcPr>
          <w:p w14:paraId="5358EED7" w14:textId="77777777" w:rsidR="00D756F3" w:rsidRPr="001870E6" w:rsidRDefault="00D756F3" w:rsidP="00F5006B">
            <w:pPr>
              <w:jc w:val="both"/>
              <w:rPr>
                <w:rFonts w:ascii="Arial" w:hAnsi="Arial" w:cs="Arial"/>
                <w:lang w:eastAsia="en-US"/>
              </w:rPr>
            </w:pPr>
          </w:p>
        </w:tc>
        <w:tc>
          <w:tcPr>
            <w:tcW w:w="1559" w:type="dxa"/>
            <w:shd w:val="clear" w:color="auto" w:fill="auto"/>
          </w:tcPr>
          <w:p w14:paraId="15CF9DFA" w14:textId="77777777" w:rsidR="00D756F3" w:rsidRPr="001870E6" w:rsidRDefault="00D756F3" w:rsidP="00F5006B">
            <w:pPr>
              <w:jc w:val="both"/>
              <w:rPr>
                <w:rFonts w:ascii="Arial" w:hAnsi="Arial" w:cs="Arial"/>
                <w:lang w:eastAsia="en-US"/>
              </w:rPr>
            </w:pPr>
          </w:p>
        </w:tc>
        <w:tc>
          <w:tcPr>
            <w:tcW w:w="303" w:type="dxa"/>
            <w:shd w:val="clear" w:color="auto" w:fill="auto"/>
          </w:tcPr>
          <w:p w14:paraId="58EC3A90" w14:textId="77777777" w:rsidR="00D756F3" w:rsidRPr="001870E6" w:rsidRDefault="00D756F3" w:rsidP="00F5006B">
            <w:pPr>
              <w:jc w:val="both"/>
              <w:rPr>
                <w:rFonts w:ascii="Arial" w:hAnsi="Arial" w:cs="Arial"/>
                <w:lang w:eastAsia="en-US"/>
              </w:rPr>
            </w:pPr>
          </w:p>
        </w:tc>
        <w:tc>
          <w:tcPr>
            <w:tcW w:w="682" w:type="dxa"/>
            <w:shd w:val="clear" w:color="auto" w:fill="auto"/>
          </w:tcPr>
          <w:p w14:paraId="798F8FBC" w14:textId="77777777" w:rsidR="00D756F3" w:rsidRPr="001870E6" w:rsidRDefault="00D756F3" w:rsidP="00F5006B">
            <w:pPr>
              <w:jc w:val="both"/>
              <w:rPr>
                <w:rFonts w:ascii="Arial" w:hAnsi="Arial" w:cs="Arial"/>
                <w:lang w:eastAsia="en-US"/>
              </w:rPr>
            </w:pPr>
          </w:p>
        </w:tc>
        <w:tc>
          <w:tcPr>
            <w:tcW w:w="3268" w:type="dxa"/>
            <w:shd w:val="clear" w:color="auto" w:fill="auto"/>
          </w:tcPr>
          <w:p w14:paraId="138A0EF1" w14:textId="751FB604" w:rsidR="00D756F3" w:rsidRPr="001870E6" w:rsidRDefault="00C74F74" w:rsidP="00F5006B">
            <w:pPr>
              <w:jc w:val="both"/>
              <w:rPr>
                <w:rFonts w:ascii="Arial" w:hAnsi="Arial" w:cs="Arial"/>
                <w:lang w:eastAsia="en-US"/>
              </w:rPr>
            </w:pPr>
            <w:r>
              <w:rPr>
                <w:rFonts w:ascii="Arial" w:hAnsi="Arial" w:cs="Arial"/>
                <w:lang w:eastAsia="en-US"/>
              </w:rPr>
              <w:t xml:space="preserve">Birželio </w:t>
            </w:r>
            <w:r w:rsidR="00C54A1D">
              <w:rPr>
                <w:rFonts w:ascii="Arial" w:hAnsi="Arial" w:cs="Arial"/>
                <w:lang w:eastAsia="en-US"/>
              </w:rPr>
              <w:t>14 d.</w:t>
            </w:r>
          </w:p>
        </w:tc>
        <w:tc>
          <w:tcPr>
            <w:tcW w:w="990" w:type="dxa"/>
            <w:shd w:val="clear" w:color="auto" w:fill="auto"/>
            <w:hideMark/>
          </w:tcPr>
          <w:p w14:paraId="326BFFE7" w14:textId="6ED5F46B" w:rsidR="00D756F3" w:rsidRPr="001870E6" w:rsidRDefault="00D756F3" w:rsidP="00F5006B">
            <w:pPr>
              <w:jc w:val="both"/>
              <w:rPr>
                <w:rFonts w:ascii="Arial" w:hAnsi="Arial" w:cs="Arial"/>
                <w:lang w:eastAsia="en-US"/>
              </w:rPr>
            </w:pPr>
          </w:p>
        </w:tc>
      </w:tr>
      <w:tr w:rsidR="00D756F3" w:rsidRPr="001870E6" w14:paraId="4A8A63D2" w14:textId="77777777" w:rsidTr="00C54A1D">
        <w:tc>
          <w:tcPr>
            <w:tcW w:w="3830" w:type="dxa"/>
            <w:gridSpan w:val="2"/>
            <w:shd w:val="clear" w:color="auto" w:fill="auto"/>
          </w:tcPr>
          <w:p w14:paraId="1AA77013" w14:textId="77777777" w:rsidR="00D756F3" w:rsidRPr="001870E6" w:rsidRDefault="00D756F3" w:rsidP="00F5006B">
            <w:pPr>
              <w:jc w:val="both"/>
              <w:rPr>
                <w:rFonts w:ascii="Arial" w:hAnsi="Arial" w:cs="Arial"/>
                <w:lang w:val="en-US" w:eastAsia="en-US"/>
              </w:rPr>
            </w:pPr>
          </w:p>
        </w:tc>
        <w:tc>
          <w:tcPr>
            <w:tcW w:w="1559" w:type="dxa"/>
            <w:shd w:val="clear" w:color="auto" w:fill="auto"/>
          </w:tcPr>
          <w:p w14:paraId="24833A22" w14:textId="77777777" w:rsidR="00D756F3" w:rsidRPr="001870E6" w:rsidRDefault="00D756F3" w:rsidP="00F5006B">
            <w:pPr>
              <w:jc w:val="both"/>
              <w:rPr>
                <w:rFonts w:ascii="Arial" w:hAnsi="Arial" w:cs="Arial"/>
                <w:lang w:eastAsia="en-US"/>
              </w:rPr>
            </w:pPr>
          </w:p>
        </w:tc>
        <w:tc>
          <w:tcPr>
            <w:tcW w:w="303" w:type="dxa"/>
            <w:shd w:val="clear" w:color="auto" w:fill="auto"/>
          </w:tcPr>
          <w:p w14:paraId="5959EACA" w14:textId="77777777" w:rsidR="00D756F3" w:rsidRPr="001870E6" w:rsidRDefault="00D756F3" w:rsidP="00F5006B">
            <w:pPr>
              <w:jc w:val="both"/>
              <w:rPr>
                <w:rFonts w:ascii="Arial" w:hAnsi="Arial" w:cs="Arial"/>
                <w:lang w:eastAsia="en-US"/>
              </w:rPr>
            </w:pPr>
          </w:p>
        </w:tc>
        <w:tc>
          <w:tcPr>
            <w:tcW w:w="682" w:type="dxa"/>
            <w:shd w:val="clear" w:color="auto" w:fill="auto"/>
          </w:tcPr>
          <w:p w14:paraId="69912950" w14:textId="77777777" w:rsidR="00D756F3" w:rsidRPr="001870E6" w:rsidRDefault="00D756F3" w:rsidP="00F5006B">
            <w:pPr>
              <w:jc w:val="both"/>
              <w:rPr>
                <w:rFonts w:ascii="Arial" w:hAnsi="Arial" w:cs="Arial"/>
                <w:lang w:eastAsia="en-US"/>
              </w:rPr>
            </w:pPr>
          </w:p>
        </w:tc>
        <w:tc>
          <w:tcPr>
            <w:tcW w:w="4258" w:type="dxa"/>
            <w:gridSpan w:val="2"/>
            <w:shd w:val="clear" w:color="auto" w:fill="auto"/>
            <w:hideMark/>
          </w:tcPr>
          <w:p w14:paraId="00EACB6A" w14:textId="77777777" w:rsidR="00D756F3" w:rsidRPr="001870E6" w:rsidRDefault="00D756F3" w:rsidP="00F5006B">
            <w:pPr>
              <w:jc w:val="both"/>
              <w:rPr>
                <w:rFonts w:ascii="Arial" w:hAnsi="Arial" w:cs="Arial"/>
                <w:lang w:eastAsia="en-US"/>
              </w:rPr>
            </w:pPr>
            <w:r w:rsidRPr="001870E6">
              <w:rPr>
                <w:rFonts w:ascii="Arial" w:hAnsi="Arial" w:cs="Arial"/>
                <w:lang w:eastAsia="en-US"/>
              </w:rPr>
              <w:t>Perdavimo tinklo departamento</w:t>
            </w:r>
          </w:p>
        </w:tc>
      </w:tr>
      <w:tr w:rsidR="0063717A" w:rsidRPr="001870E6" w14:paraId="7D9B6A95" w14:textId="77777777" w:rsidTr="00C54A1D">
        <w:tc>
          <w:tcPr>
            <w:tcW w:w="3121" w:type="dxa"/>
            <w:shd w:val="clear" w:color="auto" w:fill="auto"/>
          </w:tcPr>
          <w:p w14:paraId="3A243F9D" w14:textId="77777777" w:rsidR="0063717A" w:rsidRPr="001870E6" w:rsidRDefault="0063717A" w:rsidP="00F5006B">
            <w:pPr>
              <w:jc w:val="both"/>
              <w:rPr>
                <w:rFonts w:ascii="Arial" w:hAnsi="Arial" w:cs="Arial"/>
                <w:lang w:val="en-US" w:eastAsia="en-US"/>
              </w:rPr>
            </w:pPr>
          </w:p>
        </w:tc>
        <w:tc>
          <w:tcPr>
            <w:tcW w:w="709" w:type="dxa"/>
            <w:shd w:val="clear" w:color="auto" w:fill="auto"/>
          </w:tcPr>
          <w:p w14:paraId="1BA9448D" w14:textId="77777777" w:rsidR="0063717A" w:rsidRPr="001870E6" w:rsidRDefault="0063717A" w:rsidP="00F5006B">
            <w:pPr>
              <w:jc w:val="both"/>
              <w:rPr>
                <w:rFonts w:ascii="Arial" w:hAnsi="Arial" w:cs="Arial"/>
                <w:lang w:eastAsia="en-US"/>
              </w:rPr>
            </w:pPr>
          </w:p>
        </w:tc>
        <w:tc>
          <w:tcPr>
            <w:tcW w:w="1559" w:type="dxa"/>
            <w:shd w:val="clear" w:color="auto" w:fill="auto"/>
          </w:tcPr>
          <w:p w14:paraId="47B798E2" w14:textId="77777777" w:rsidR="0063717A" w:rsidRPr="001870E6" w:rsidRDefault="0063717A" w:rsidP="00F5006B">
            <w:pPr>
              <w:jc w:val="both"/>
              <w:rPr>
                <w:rFonts w:ascii="Arial" w:hAnsi="Arial" w:cs="Arial"/>
                <w:lang w:eastAsia="en-US"/>
              </w:rPr>
            </w:pPr>
          </w:p>
        </w:tc>
        <w:tc>
          <w:tcPr>
            <w:tcW w:w="303" w:type="dxa"/>
            <w:shd w:val="clear" w:color="auto" w:fill="auto"/>
          </w:tcPr>
          <w:p w14:paraId="6970F0C3" w14:textId="77777777" w:rsidR="0063717A" w:rsidRPr="001870E6" w:rsidRDefault="0063717A" w:rsidP="00F5006B">
            <w:pPr>
              <w:jc w:val="both"/>
              <w:rPr>
                <w:rFonts w:ascii="Arial" w:hAnsi="Arial" w:cs="Arial"/>
                <w:lang w:eastAsia="en-US"/>
              </w:rPr>
            </w:pPr>
          </w:p>
        </w:tc>
        <w:tc>
          <w:tcPr>
            <w:tcW w:w="682" w:type="dxa"/>
            <w:shd w:val="clear" w:color="auto" w:fill="auto"/>
          </w:tcPr>
          <w:p w14:paraId="2CD160CD" w14:textId="77777777" w:rsidR="0063717A" w:rsidRPr="001870E6" w:rsidRDefault="0063717A" w:rsidP="00F5006B">
            <w:pPr>
              <w:jc w:val="both"/>
              <w:rPr>
                <w:rFonts w:ascii="Arial" w:hAnsi="Arial" w:cs="Arial"/>
                <w:lang w:eastAsia="en-US"/>
              </w:rPr>
            </w:pPr>
          </w:p>
        </w:tc>
        <w:tc>
          <w:tcPr>
            <w:tcW w:w="4258" w:type="dxa"/>
            <w:gridSpan w:val="2"/>
            <w:shd w:val="clear" w:color="auto" w:fill="auto"/>
            <w:hideMark/>
          </w:tcPr>
          <w:p w14:paraId="54C0A589" w14:textId="55758097" w:rsidR="0063717A" w:rsidRPr="001870E6" w:rsidRDefault="0063717A" w:rsidP="00F5006B">
            <w:pPr>
              <w:jc w:val="both"/>
              <w:rPr>
                <w:rFonts w:ascii="Arial" w:hAnsi="Arial" w:cs="Arial"/>
                <w:lang w:eastAsia="en-US"/>
              </w:rPr>
            </w:pPr>
            <w:r w:rsidRPr="001870E6">
              <w:rPr>
                <w:rFonts w:ascii="Arial" w:hAnsi="Arial" w:cs="Arial"/>
                <w:lang w:eastAsia="en-US"/>
              </w:rPr>
              <w:t>direktoriaus nurodymu Nr.</w:t>
            </w:r>
            <w:r>
              <w:rPr>
                <w:rFonts w:ascii="Arial" w:hAnsi="Arial" w:cs="Arial"/>
                <w:lang w:eastAsia="en-US"/>
              </w:rPr>
              <w:t xml:space="preserve"> </w:t>
            </w:r>
            <w:r w:rsidR="00C54A1D">
              <w:rPr>
                <w:rFonts w:ascii="Arial" w:hAnsi="Arial" w:cs="Arial"/>
                <w:lang w:eastAsia="en-US"/>
              </w:rPr>
              <w:t>21NU-191</w:t>
            </w:r>
          </w:p>
        </w:tc>
      </w:tr>
    </w:tbl>
    <w:p w14:paraId="4E54D2F5" w14:textId="77777777" w:rsidR="003B153A" w:rsidRPr="001870E6" w:rsidRDefault="003B153A" w:rsidP="00F5006B">
      <w:pPr>
        <w:jc w:val="both"/>
        <w:rPr>
          <w:rFonts w:ascii="Arial" w:hAnsi="Arial" w:cs="Arial"/>
        </w:rPr>
      </w:pPr>
    </w:p>
    <w:p w14:paraId="272DF286" w14:textId="77777777" w:rsidR="00D756F3" w:rsidRPr="001870E6" w:rsidRDefault="00D756F3" w:rsidP="00F5006B">
      <w:pPr>
        <w:jc w:val="both"/>
        <w:rPr>
          <w:rFonts w:ascii="Arial" w:hAnsi="Arial" w:cs="Arial"/>
        </w:rPr>
      </w:pPr>
    </w:p>
    <w:p w14:paraId="28BDB946" w14:textId="714E0D44" w:rsidR="00D756F3" w:rsidRPr="001870E6" w:rsidRDefault="00D95F2A" w:rsidP="00F5006B">
      <w:pPr>
        <w:jc w:val="center"/>
        <w:rPr>
          <w:rFonts w:ascii="Arial" w:hAnsi="Arial" w:cs="Arial"/>
          <w:b/>
        </w:rPr>
      </w:pPr>
      <w:r w:rsidRPr="001870E6">
        <w:rPr>
          <w:rFonts w:ascii="Arial" w:hAnsi="Arial" w:cs="Arial"/>
          <w:b/>
        </w:rPr>
        <w:t>APIBENDRINTI REIKALAVIMAI</w:t>
      </w:r>
      <w:r w:rsidR="009F298A">
        <w:rPr>
          <w:rFonts w:ascii="Arial" w:hAnsi="Arial" w:cs="Arial"/>
          <w:b/>
        </w:rPr>
        <w:t xml:space="preserve"> VIRŠĮTAMPIŲ RIBOTUVŲ ĮRENGIMUI</w:t>
      </w:r>
      <w:r w:rsidRPr="001870E6">
        <w:rPr>
          <w:rFonts w:ascii="Arial" w:hAnsi="Arial" w:cs="Arial"/>
          <w:b/>
        </w:rPr>
        <w:t xml:space="preserve"> </w:t>
      </w:r>
      <w:r w:rsidR="0014173B" w:rsidRPr="001870E6">
        <w:rPr>
          <w:rFonts w:ascii="Arial" w:hAnsi="Arial" w:cs="Arial"/>
          <w:b/>
        </w:rPr>
        <w:t>33</w:t>
      </w:r>
      <w:r w:rsidR="00D756F3" w:rsidRPr="001870E6">
        <w:rPr>
          <w:rFonts w:ascii="Arial" w:hAnsi="Arial" w:cs="Arial"/>
          <w:b/>
        </w:rPr>
        <w:t xml:space="preserve">0 KV </w:t>
      </w:r>
      <w:r w:rsidR="009F298A">
        <w:rPr>
          <w:rFonts w:ascii="Arial" w:hAnsi="Arial" w:cs="Arial"/>
          <w:b/>
        </w:rPr>
        <w:t>TRANSFORMATORIŲ PASTOTĖSE</w:t>
      </w:r>
    </w:p>
    <w:p w14:paraId="11798DEC" w14:textId="77777777" w:rsidR="00D756F3" w:rsidRPr="001870E6" w:rsidRDefault="00D756F3" w:rsidP="00F5006B">
      <w:pPr>
        <w:jc w:val="both"/>
        <w:rPr>
          <w:rFonts w:ascii="Arial" w:hAnsi="Arial" w:cs="Arial"/>
        </w:rPr>
      </w:pPr>
    </w:p>
    <w:p w14:paraId="7F4641E4" w14:textId="77777777" w:rsidR="0014173B" w:rsidRPr="001870E6" w:rsidRDefault="0014173B" w:rsidP="00FF7077">
      <w:pPr>
        <w:pStyle w:val="ListParagraph"/>
        <w:numPr>
          <w:ilvl w:val="0"/>
          <w:numId w:val="8"/>
        </w:numPr>
        <w:ind w:left="426"/>
        <w:contextualSpacing w:val="0"/>
        <w:jc w:val="both"/>
        <w:rPr>
          <w:rFonts w:ascii="Arial" w:hAnsi="Arial" w:cs="Arial"/>
          <w:color w:val="000000"/>
          <w:lang w:val="lt-LT"/>
        </w:rPr>
      </w:pPr>
      <w:r w:rsidRPr="001870E6">
        <w:rPr>
          <w:rFonts w:ascii="Arial" w:hAnsi="Arial" w:cs="Arial"/>
          <w:color w:val="000000"/>
          <w:lang w:val="lt-LT"/>
        </w:rPr>
        <w:t>Viršįtampių ribotuvų kiekis ir išdėstymas transformatorių pastočių 330 kV įtampos skirstykloje priklauso nuo viršįtampiams jautrių įrenginių (galios transformatorių, matavimo transformatorių ar ryšio kondensatorių ir pan.) kiekio ir jų išdėstymo.</w:t>
      </w:r>
    </w:p>
    <w:p w14:paraId="455AB9A5" w14:textId="77777777" w:rsidR="00FF7077" w:rsidRPr="001870E6" w:rsidRDefault="00FF7077" w:rsidP="00FF7077">
      <w:pPr>
        <w:pStyle w:val="ListParagraph"/>
        <w:ind w:left="426"/>
        <w:contextualSpacing w:val="0"/>
        <w:jc w:val="both"/>
        <w:rPr>
          <w:rFonts w:ascii="Arial" w:hAnsi="Arial" w:cs="Arial"/>
          <w:color w:val="000000"/>
          <w:lang w:val="lt-LT"/>
        </w:rPr>
      </w:pPr>
    </w:p>
    <w:p w14:paraId="4490C57C" w14:textId="77777777" w:rsidR="0014173B" w:rsidRPr="001870E6" w:rsidRDefault="0014173B" w:rsidP="00FF7077">
      <w:pPr>
        <w:pStyle w:val="ListParagraph"/>
        <w:numPr>
          <w:ilvl w:val="0"/>
          <w:numId w:val="8"/>
        </w:numPr>
        <w:ind w:left="426" w:hanging="357"/>
        <w:contextualSpacing w:val="0"/>
        <w:jc w:val="both"/>
        <w:rPr>
          <w:rFonts w:ascii="Arial" w:hAnsi="Arial" w:cs="Arial"/>
          <w:color w:val="000000"/>
          <w:lang w:val="lt-LT"/>
        </w:rPr>
      </w:pPr>
      <w:r w:rsidRPr="001870E6">
        <w:rPr>
          <w:rFonts w:ascii="Arial" w:hAnsi="Arial" w:cs="Arial"/>
          <w:color w:val="000000"/>
          <w:lang w:val="lt-LT"/>
        </w:rPr>
        <w:t>Viršįtampiams jautrių įrenginių apsaugai nuo viršįtampių reikalinga suprojektuoti ir numatyti viršįtampių ribotuvų įrengimą transformatorių pastočių skirstykloje vadovaujantis šiais principais:</w:t>
      </w:r>
    </w:p>
    <w:p w14:paraId="00F4F806" w14:textId="77777777" w:rsidR="00FF7077" w:rsidRPr="001870E6" w:rsidRDefault="00FF7077" w:rsidP="00FF7077">
      <w:pPr>
        <w:pStyle w:val="ListParagraph"/>
        <w:ind w:left="426"/>
        <w:contextualSpacing w:val="0"/>
        <w:jc w:val="both"/>
        <w:rPr>
          <w:rFonts w:ascii="Arial" w:hAnsi="Arial" w:cs="Arial"/>
          <w:color w:val="000000"/>
          <w:lang w:val="lt-LT"/>
        </w:rPr>
      </w:pPr>
    </w:p>
    <w:p w14:paraId="50DBA6B7" w14:textId="77777777" w:rsidR="0014173B" w:rsidRPr="001870E6" w:rsidRDefault="0014173B" w:rsidP="0014173B">
      <w:pPr>
        <w:pStyle w:val="ListParagraph"/>
        <w:numPr>
          <w:ilvl w:val="1"/>
          <w:numId w:val="8"/>
        </w:numPr>
        <w:tabs>
          <w:tab w:val="left" w:pos="709"/>
        </w:tabs>
        <w:ind w:left="709" w:firstLine="0"/>
        <w:contextualSpacing w:val="0"/>
        <w:jc w:val="both"/>
        <w:rPr>
          <w:rFonts w:ascii="Arial" w:hAnsi="Arial" w:cs="Arial"/>
          <w:color w:val="000000"/>
          <w:lang w:val="lt-LT"/>
        </w:rPr>
      </w:pPr>
      <w:r w:rsidRPr="001870E6">
        <w:rPr>
          <w:rFonts w:ascii="Arial" w:hAnsi="Arial" w:cs="Arial"/>
          <w:color w:val="000000"/>
          <w:lang w:val="lt-LT"/>
        </w:rPr>
        <w:t>Galios transformatorių ir autotransformatorių prijunginiuose</w:t>
      </w:r>
      <w:r w:rsidR="003B62E1">
        <w:rPr>
          <w:rFonts w:ascii="Arial" w:hAnsi="Arial" w:cs="Arial"/>
          <w:color w:val="000000"/>
          <w:lang w:val="lt-LT"/>
        </w:rPr>
        <w:t xml:space="preserve"> </w:t>
      </w:r>
      <w:r w:rsidR="003B62E1" w:rsidRPr="003B62E1">
        <w:rPr>
          <w:rFonts w:ascii="Arial" w:hAnsi="Arial" w:cs="Arial"/>
          <w:i/>
          <w:color w:val="000000"/>
          <w:lang w:val="lt-LT"/>
        </w:rPr>
        <w:t>(1 pav.)</w:t>
      </w:r>
      <w:r w:rsidRPr="001870E6">
        <w:rPr>
          <w:rFonts w:ascii="Arial" w:hAnsi="Arial" w:cs="Arial"/>
          <w:color w:val="000000"/>
          <w:lang w:val="lt-LT"/>
        </w:rPr>
        <w:t xml:space="preserve">, toliausiai iki </w:t>
      </w:r>
      <w:smartTag w:uri="urn:schemas-microsoft-com:office:smarttags" w:element="metricconverter">
        <w:smartTagPr>
          <w:attr w:name="ProductID" w:val="10 metrų"/>
        </w:smartTagPr>
        <w:r w:rsidRPr="001870E6">
          <w:rPr>
            <w:rFonts w:ascii="Arial" w:hAnsi="Arial" w:cs="Arial"/>
            <w:color w:val="000000"/>
            <w:lang w:val="lt-LT"/>
          </w:rPr>
          <w:t>10 metrų</w:t>
        </w:r>
      </w:smartTag>
      <w:r w:rsidRPr="001870E6">
        <w:rPr>
          <w:rFonts w:ascii="Arial" w:hAnsi="Arial" w:cs="Arial"/>
          <w:color w:val="000000"/>
          <w:lang w:val="lt-LT"/>
        </w:rPr>
        <w:t xml:space="preserve"> laidininko atstumu nuo jų įvadų gnybtų, būtina įrengti viršįtampių ribotuvus ne žemesnės kaip III-</w:t>
      </w:r>
      <w:proofErr w:type="spellStart"/>
      <w:r w:rsidRPr="001870E6">
        <w:rPr>
          <w:rFonts w:ascii="Arial" w:hAnsi="Arial" w:cs="Arial"/>
          <w:color w:val="000000"/>
          <w:lang w:val="lt-LT"/>
        </w:rPr>
        <w:t>čios</w:t>
      </w:r>
      <w:proofErr w:type="spellEnd"/>
      <w:r w:rsidRPr="001870E6">
        <w:rPr>
          <w:rFonts w:ascii="Arial" w:hAnsi="Arial" w:cs="Arial"/>
          <w:color w:val="000000"/>
          <w:lang w:val="lt-LT"/>
        </w:rPr>
        <w:t xml:space="preserve"> energetinės iškrovos klasės su </w:t>
      </w:r>
      <w:r w:rsidRPr="001870E6">
        <w:rPr>
          <w:rFonts w:ascii="Arial" w:hAnsi="Arial" w:cs="Arial"/>
          <w:i/>
          <w:color w:val="000000"/>
          <w:lang w:val="lt-LT"/>
        </w:rPr>
        <w:t>U</w:t>
      </w:r>
      <w:r w:rsidRPr="001870E6">
        <w:rPr>
          <w:rFonts w:ascii="Arial" w:hAnsi="Arial" w:cs="Arial"/>
          <w:i/>
          <w:color w:val="000000"/>
          <w:vertAlign w:val="subscript"/>
          <w:lang w:val="lt-LT"/>
        </w:rPr>
        <w:t>c</w:t>
      </w:r>
      <w:r w:rsidRPr="001870E6">
        <w:rPr>
          <w:rFonts w:ascii="Arial" w:hAnsi="Arial" w:cs="Arial"/>
          <w:color w:val="000000"/>
          <w:lang w:val="lt-LT"/>
        </w:rPr>
        <w:t xml:space="preserve"> </w:t>
      </w:r>
      <w:r w:rsidRPr="001870E6">
        <w:rPr>
          <w:rFonts w:ascii="Arial" w:hAnsi="Arial" w:cs="Arial"/>
          <w:lang w:val="lt-LT"/>
        </w:rPr>
        <w:t>–</w:t>
      </w:r>
      <w:r w:rsidRPr="001870E6">
        <w:rPr>
          <w:rFonts w:ascii="Arial" w:hAnsi="Arial" w:cs="Arial"/>
          <w:color w:val="000000"/>
          <w:lang w:val="lt-LT"/>
        </w:rPr>
        <w:t xml:space="preserve"> nuo 221 kV iki 226 kV, </w:t>
      </w:r>
      <w:r w:rsidRPr="001870E6">
        <w:rPr>
          <w:rFonts w:ascii="Arial" w:hAnsi="Arial" w:cs="Arial"/>
          <w:i/>
          <w:color w:val="000000"/>
          <w:lang w:val="lt-LT"/>
        </w:rPr>
        <w:t>U</w:t>
      </w:r>
      <w:r w:rsidRPr="001870E6">
        <w:rPr>
          <w:rFonts w:ascii="Arial" w:hAnsi="Arial" w:cs="Arial"/>
          <w:i/>
          <w:color w:val="000000"/>
          <w:vertAlign w:val="subscript"/>
          <w:lang w:val="lt-LT"/>
        </w:rPr>
        <w:t>r</w:t>
      </w:r>
      <w:r w:rsidRPr="001870E6">
        <w:rPr>
          <w:rFonts w:ascii="Arial" w:hAnsi="Arial" w:cs="Arial"/>
          <w:color w:val="000000"/>
          <w:lang w:val="lt-LT"/>
        </w:rPr>
        <w:t xml:space="preserve"> </w:t>
      </w:r>
      <w:r w:rsidRPr="001870E6">
        <w:rPr>
          <w:rFonts w:ascii="Arial" w:hAnsi="Arial" w:cs="Arial"/>
          <w:lang w:val="lt-LT"/>
        </w:rPr>
        <w:t>–</w:t>
      </w:r>
      <w:r w:rsidRPr="001870E6">
        <w:rPr>
          <w:rFonts w:ascii="Arial" w:hAnsi="Arial" w:cs="Arial"/>
          <w:color w:val="000000"/>
          <w:lang w:val="lt-LT"/>
        </w:rPr>
        <w:t xml:space="preserve"> nuo 276 kV iki 288 kV ir energijos absorbavimo geba pagal </w:t>
      </w:r>
      <w:r w:rsidRPr="001870E6">
        <w:rPr>
          <w:rFonts w:ascii="Arial" w:hAnsi="Arial" w:cs="Arial"/>
          <w:i/>
          <w:color w:val="000000"/>
          <w:lang w:val="lt-LT"/>
        </w:rPr>
        <w:t>U</w:t>
      </w:r>
      <w:r w:rsidRPr="001870E6">
        <w:rPr>
          <w:rFonts w:ascii="Arial" w:hAnsi="Arial" w:cs="Arial"/>
          <w:i/>
          <w:color w:val="000000"/>
          <w:vertAlign w:val="subscript"/>
          <w:lang w:val="lt-LT"/>
        </w:rPr>
        <w:t>c</w:t>
      </w:r>
      <w:r w:rsidRPr="001870E6">
        <w:rPr>
          <w:rFonts w:ascii="Arial" w:hAnsi="Arial" w:cs="Arial"/>
          <w:color w:val="000000"/>
          <w:lang w:val="lt-LT"/>
        </w:rPr>
        <w:t xml:space="preserve"> ne mažesne kaip 7,4 kJ/kV ir </w:t>
      </w:r>
      <w:r w:rsidRPr="001870E6">
        <w:rPr>
          <w:rFonts w:ascii="Arial" w:hAnsi="Arial" w:cs="Arial"/>
          <w:lang w:val="lt-LT"/>
        </w:rPr>
        <w:t xml:space="preserve">ne mažesne kaip 6,0 kJ/kV pagal </w:t>
      </w:r>
      <w:r w:rsidRPr="001870E6">
        <w:rPr>
          <w:rFonts w:ascii="Arial" w:hAnsi="Arial" w:cs="Arial"/>
          <w:i/>
          <w:lang w:val="lt-LT"/>
        </w:rPr>
        <w:t>U</w:t>
      </w:r>
      <w:r w:rsidRPr="001870E6">
        <w:rPr>
          <w:rFonts w:ascii="Arial" w:hAnsi="Arial" w:cs="Arial"/>
          <w:vertAlign w:val="subscript"/>
          <w:lang w:val="lt-LT"/>
        </w:rPr>
        <w:t>r</w:t>
      </w:r>
      <w:r w:rsidRPr="001870E6">
        <w:rPr>
          <w:rFonts w:ascii="Arial" w:hAnsi="Arial" w:cs="Arial"/>
          <w:color w:val="000000"/>
          <w:lang w:val="lt-LT"/>
        </w:rPr>
        <w:t xml:space="preserve">. </w:t>
      </w:r>
    </w:p>
    <w:p w14:paraId="15979E97" w14:textId="77777777" w:rsidR="00FF7077" w:rsidRPr="001870E6" w:rsidRDefault="00FF7077" w:rsidP="00FF7077">
      <w:pPr>
        <w:pStyle w:val="ListParagraph"/>
        <w:tabs>
          <w:tab w:val="left" w:pos="709"/>
        </w:tabs>
        <w:ind w:left="709"/>
        <w:contextualSpacing w:val="0"/>
        <w:jc w:val="both"/>
        <w:rPr>
          <w:rFonts w:ascii="Arial" w:hAnsi="Arial" w:cs="Arial"/>
          <w:color w:val="000000"/>
          <w:lang w:val="lt-LT"/>
        </w:rPr>
      </w:pPr>
    </w:p>
    <w:p w14:paraId="74ABB934" w14:textId="77777777" w:rsidR="003B62E1" w:rsidRDefault="0014173B" w:rsidP="0014173B">
      <w:pPr>
        <w:pStyle w:val="ListParagraph"/>
        <w:numPr>
          <w:ilvl w:val="1"/>
          <w:numId w:val="8"/>
        </w:numPr>
        <w:tabs>
          <w:tab w:val="left" w:pos="709"/>
        </w:tabs>
        <w:ind w:left="709" w:firstLine="0"/>
        <w:contextualSpacing w:val="0"/>
        <w:jc w:val="both"/>
        <w:rPr>
          <w:rFonts w:ascii="Arial" w:hAnsi="Arial" w:cs="Arial"/>
          <w:color w:val="000000"/>
          <w:lang w:val="lt-LT"/>
        </w:rPr>
      </w:pPr>
      <w:r w:rsidRPr="001870E6">
        <w:rPr>
          <w:rFonts w:ascii="Arial" w:hAnsi="Arial" w:cs="Arial"/>
          <w:color w:val="000000"/>
          <w:lang w:val="lt-LT"/>
        </w:rPr>
        <w:t>Oro linijų prijunginiuose turi būti įrengiami viršįtampių ribotuvai</w:t>
      </w:r>
      <w:r w:rsidR="003B62E1">
        <w:rPr>
          <w:rFonts w:ascii="Arial" w:hAnsi="Arial" w:cs="Arial"/>
          <w:color w:val="000000"/>
          <w:lang w:val="lt-LT"/>
        </w:rPr>
        <w:t xml:space="preserve"> </w:t>
      </w:r>
      <w:r w:rsidR="003B62E1" w:rsidRPr="003B62E1">
        <w:rPr>
          <w:rFonts w:ascii="Arial" w:hAnsi="Arial" w:cs="Arial"/>
          <w:i/>
          <w:color w:val="000000"/>
          <w:lang w:val="lt-LT"/>
        </w:rPr>
        <w:t>(1 pav.)</w:t>
      </w:r>
      <w:r w:rsidRPr="001870E6">
        <w:rPr>
          <w:rFonts w:ascii="Arial" w:hAnsi="Arial" w:cs="Arial"/>
          <w:color w:val="000000"/>
          <w:lang w:val="lt-LT"/>
        </w:rPr>
        <w:t xml:space="preserve">, kurių linijos iškrovos klasė ne žemesnė kaip IV-ta su </w:t>
      </w:r>
      <w:r w:rsidRPr="001870E6">
        <w:rPr>
          <w:rFonts w:ascii="Arial" w:hAnsi="Arial" w:cs="Arial"/>
          <w:i/>
          <w:color w:val="000000"/>
          <w:lang w:val="lt-LT"/>
        </w:rPr>
        <w:t>U</w:t>
      </w:r>
      <w:r w:rsidRPr="001870E6">
        <w:rPr>
          <w:rFonts w:ascii="Arial" w:hAnsi="Arial" w:cs="Arial"/>
          <w:i/>
          <w:color w:val="000000"/>
          <w:vertAlign w:val="subscript"/>
          <w:lang w:val="lt-LT"/>
        </w:rPr>
        <w:t>c</w:t>
      </w:r>
      <w:r w:rsidRPr="001870E6">
        <w:rPr>
          <w:rFonts w:ascii="Arial" w:hAnsi="Arial" w:cs="Arial"/>
          <w:color w:val="000000"/>
          <w:lang w:val="lt-LT"/>
        </w:rPr>
        <w:t xml:space="preserve"> </w:t>
      </w:r>
      <w:r w:rsidRPr="001870E6">
        <w:rPr>
          <w:rFonts w:ascii="Arial" w:hAnsi="Arial" w:cs="Arial"/>
          <w:lang w:val="lt-LT"/>
        </w:rPr>
        <w:t>–</w:t>
      </w:r>
      <w:r w:rsidRPr="001870E6">
        <w:rPr>
          <w:rFonts w:ascii="Arial" w:hAnsi="Arial" w:cs="Arial"/>
          <w:color w:val="000000"/>
          <w:lang w:val="lt-LT"/>
        </w:rPr>
        <w:t xml:space="preserve"> nuo 226 kV iki 230 kV, </w:t>
      </w:r>
      <w:r w:rsidRPr="001870E6">
        <w:rPr>
          <w:rFonts w:ascii="Arial" w:hAnsi="Arial" w:cs="Arial"/>
          <w:i/>
          <w:color w:val="000000"/>
          <w:lang w:val="lt-LT"/>
        </w:rPr>
        <w:t>U</w:t>
      </w:r>
      <w:r w:rsidRPr="001870E6">
        <w:rPr>
          <w:rFonts w:ascii="Arial" w:hAnsi="Arial" w:cs="Arial"/>
          <w:i/>
          <w:color w:val="000000"/>
          <w:vertAlign w:val="subscript"/>
          <w:lang w:val="lt-LT"/>
        </w:rPr>
        <w:t>r</w:t>
      </w:r>
      <w:r w:rsidRPr="001870E6">
        <w:rPr>
          <w:rFonts w:ascii="Arial" w:hAnsi="Arial" w:cs="Arial"/>
          <w:color w:val="000000"/>
          <w:lang w:val="lt-LT"/>
        </w:rPr>
        <w:t xml:space="preserve"> </w:t>
      </w:r>
      <w:r w:rsidRPr="001870E6">
        <w:rPr>
          <w:rFonts w:ascii="Arial" w:hAnsi="Arial" w:cs="Arial"/>
          <w:lang w:val="lt-LT"/>
        </w:rPr>
        <w:t>–</w:t>
      </w:r>
      <w:r w:rsidRPr="001870E6">
        <w:rPr>
          <w:rFonts w:ascii="Arial" w:hAnsi="Arial" w:cs="Arial"/>
          <w:color w:val="000000"/>
          <w:lang w:val="lt-LT"/>
        </w:rPr>
        <w:t xml:space="preserve"> nuo 276 kV iki 288 kV ir energijos absorbavimo geba </w:t>
      </w:r>
      <w:r w:rsidRPr="001870E6">
        <w:rPr>
          <w:rFonts w:ascii="Arial" w:hAnsi="Arial" w:cs="Arial"/>
          <w:lang w:val="lt-LT"/>
        </w:rPr>
        <w:t xml:space="preserve">ne mažesne kaip 9 kJ/kV pagal </w:t>
      </w:r>
      <w:r w:rsidRPr="001870E6">
        <w:rPr>
          <w:rFonts w:ascii="Arial" w:hAnsi="Arial" w:cs="Arial"/>
          <w:i/>
          <w:lang w:val="lt-LT"/>
        </w:rPr>
        <w:t>U</w:t>
      </w:r>
      <w:r w:rsidRPr="001870E6">
        <w:rPr>
          <w:rFonts w:ascii="Arial" w:hAnsi="Arial" w:cs="Arial"/>
          <w:vertAlign w:val="subscript"/>
          <w:lang w:val="lt-LT"/>
        </w:rPr>
        <w:t>r</w:t>
      </w:r>
      <w:r w:rsidRPr="001870E6">
        <w:rPr>
          <w:rFonts w:ascii="Arial" w:hAnsi="Arial" w:cs="Arial"/>
          <w:lang w:val="lt-LT"/>
        </w:rPr>
        <w:t xml:space="preserve"> arba 10,8 kJ/kV pagal </w:t>
      </w:r>
      <w:r w:rsidRPr="001870E6">
        <w:rPr>
          <w:rFonts w:ascii="Arial" w:hAnsi="Arial" w:cs="Arial"/>
          <w:i/>
          <w:lang w:val="lt-LT"/>
        </w:rPr>
        <w:t>U</w:t>
      </w:r>
      <w:r w:rsidRPr="001870E6">
        <w:rPr>
          <w:rFonts w:ascii="Arial" w:hAnsi="Arial" w:cs="Arial"/>
          <w:vertAlign w:val="subscript"/>
          <w:lang w:val="lt-LT"/>
        </w:rPr>
        <w:t>c</w:t>
      </w:r>
      <w:r w:rsidRPr="001870E6">
        <w:rPr>
          <w:rFonts w:ascii="Arial" w:hAnsi="Arial" w:cs="Arial"/>
          <w:color w:val="000000"/>
          <w:lang w:val="lt-LT"/>
        </w:rPr>
        <w:t>.</w:t>
      </w:r>
    </w:p>
    <w:p w14:paraId="7AED027D" w14:textId="77777777" w:rsidR="003B62E1" w:rsidRPr="003B62E1" w:rsidRDefault="003B62E1" w:rsidP="003B62E1">
      <w:pPr>
        <w:pStyle w:val="ListParagraph"/>
        <w:rPr>
          <w:rFonts w:ascii="Arial" w:hAnsi="Arial" w:cs="Arial"/>
          <w:color w:val="000000"/>
          <w:lang w:val="lt-LT"/>
        </w:rPr>
      </w:pPr>
    </w:p>
    <w:p w14:paraId="71856653" w14:textId="77777777" w:rsidR="0014173B" w:rsidRDefault="00B20108" w:rsidP="003B62E1">
      <w:pPr>
        <w:tabs>
          <w:tab w:val="left" w:pos="709"/>
        </w:tabs>
        <w:jc w:val="center"/>
        <w:rPr>
          <w:rFonts w:ascii="Arial" w:hAnsi="Arial" w:cs="Arial"/>
          <w:color w:val="000000"/>
        </w:rPr>
      </w:pPr>
      <w:r>
        <w:rPr>
          <w:noProof/>
        </w:rPr>
        <w:drawing>
          <wp:inline distT="0" distB="0" distL="0" distR="0" wp14:anchorId="00142CF8" wp14:editId="210DD7A0">
            <wp:extent cx="4818749" cy="3394253"/>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5710" cy="3420288"/>
                    </a:xfrm>
                    <a:prstGeom prst="rect">
                      <a:avLst/>
                    </a:prstGeom>
                  </pic:spPr>
                </pic:pic>
              </a:graphicData>
            </a:graphic>
          </wp:inline>
        </w:drawing>
      </w:r>
    </w:p>
    <w:p w14:paraId="25B3742B" w14:textId="77777777" w:rsidR="003B62E1" w:rsidRPr="003B62E1" w:rsidRDefault="003B62E1" w:rsidP="003B62E1">
      <w:pPr>
        <w:tabs>
          <w:tab w:val="left" w:pos="709"/>
        </w:tabs>
        <w:jc w:val="center"/>
        <w:rPr>
          <w:rFonts w:ascii="Arial" w:hAnsi="Arial" w:cs="Arial"/>
          <w:color w:val="000000"/>
        </w:rPr>
      </w:pPr>
      <w:r>
        <w:rPr>
          <w:rFonts w:ascii="Arial" w:hAnsi="Arial" w:cs="Arial"/>
          <w:sz w:val="20"/>
          <w:szCs w:val="20"/>
        </w:rPr>
        <w:t>1</w:t>
      </w:r>
      <w:r w:rsidRPr="00C07ED1">
        <w:rPr>
          <w:rFonts w:ascii="Arial" w:hAnsi="Arial" w:cs="Arial"/>
          <w:sz w:val="20"/>
          <w:szCs w:val="20"/>
        </w:rPr>
        <w:t xml:space="preserve"> pav. Atstumai nuo viršįtampių ribotuvų iki saugomų nuo viršįtampių įrenginių</w:t>
      </w:r>
    </w:p>
    <w:p w14:paraId="707C4C64" w14:textId="77777777" w:rsidR="00FF7077" w:rsidRPr="001870E6" w:rsidRDefault="00FF7077" w:rsidP="00FF7077">
      <w:pPr>
        <w:tabs>
          <w:tab w:val="left" w:pos="709"/>
        </w:tabs>
        <w:jc w:val="both"/>
        <w:rPr>
          <w:rFonts w:ascii="Arial" w:hAnsi="Arial" w:cs="Arial"/>
          <w:color w:val="000000"/>
        </w:rPr>
      </w:pPr>
    </w:p>
    <w:p w14:paraId="6B8B9010" w14:textId="77777777" w:rsidR="0014173B" w:rsidRDefault="0014173B" w:rsidP="0014173B">
      <w:pPr>
        <w:pStyle w:val="ListParagraph"/>
        <w:numPr>
          <w:ilvl w:val="1"/>
          <w:numId w:val="8"/>
        </w:numPr>
        <w:tabs>
          <w:tab w:val="left" w:pos="709"/>
        </w:tabs>
        <w:ind w:left="709" w:firstLine="0"/>
        <w:contextualSpacing w:val="0"/>
        <w:jc w:val="both"/>
        <w:rPr>
          <w:rFonts w:ascii="Arial" w:hAnsi="Arial" w:cs="Arial"/>
          <w:color w:val="000000"/>
          <w:lang w:val="lt-LT"/>
        </w:rPr>
      </w:pPr>
      <w:r w:rsidRPr="001870E6">
        <w:rPr>
          <w:rFonts w:ascii="Arial" w:hAnsi="Arial" w:cs="Arial"/>
          <w:color w:val="000000"/>
          <w:lang w:val="lt-LT"/>
        </w:rPr>
        <w:t>Prie šynų tiesiogiai numatant prijungti viršįtampiams jautrius įrenginius (pavyzdžiui įtampos transformatorius), sumontuotų viršįtampių ribotuvų pagal 2.2 punktą pakanka, jei laidininko atstumas nuo oro linijos prijunginyje sumontuotų viršįtampių ribotuvų iki viršįtampiams jautrių įrenginių, prijungtų prie šynų, ne didesnis kaip 60</w:t>
      </w:r>
      <w:r w:rsidRPr="001870E6">
        <w:rPr>
          <w:rFonts w:ascii="Arial" w:hAnsi="Arial" w:cs="Arial"/>
          <w:b/>
          <w:color w:val="000000"/>
          <w:lang w:val="lt-LT"/>
        </w:rPr>
        <w:t xml:space="preserve"> </w:t>
      </w:r>
      <w:r w:rsidRPr="001870E6">
        <w:rPr>
          <w:rFonts w:ascii="Arial" w:hAnsi="Arial" w:cs="Arial"/>
          <w:color w:val="000000"/>
          <w:lang w:val="lt-LT"/>
        </w:rPr>
        <w:t>metrų</w:t>
      </w:r>
      <w:r w:rsidR="00D34533">
        <w:rPr>
          <w:rFonts w:ascii="Arial" w:hAnsi="Arial" w:cs="Arial"/>
          <w:color w:val="000000"/>
          <w:lang w:val="lt-LT"/>
        </w:rPr>
        <w:t xml:space="preserve"> </w:t>
      </w:r>
      <w:r w:rsidR="00D34533" w:rsidRPr="00D34533">
        <w:rPr>
          <w:rFonts w:ascii="Arial" w:hAnsi="Arial" w:cs="Arial"/>
          <w:i/>
          <w:color w:val="000000"/>
          <w:lang w:val="lt-LT"/>
        </w:rPr>
        <w:t xml:space="preserve">(1 </w:t>
      </w:r>
      <w:proofErr w:type="spellStart"/>
      <w:r w:rsidR="00D34533" w:rsidRPr="00D34533">
        <w:rPr>
          <w:rFonts w:ascii="Arial" w:hAnsi="Arial" w:cs="Arial"/>
          <w:i/>
          <w:color w:val="000000"/>
          <w:lang w:val="lt-LT"/>
        </w:rPr>
        <w:t>pav</w:t>
      </w:r>
      <w:proofErr w:type="spellEnd"/>
      <w:r w:rsidR="00D34533" w:rsidRPr="00D34533">
        <w:rPr>
          <w:rFonts w:ascii="Arial" w:hAnsi="Arial" w:cs="Arial"/>
          <w:i/>
          <w:color w:val="000000"/>
          <w:lang w:val="lt-LT"/>
        </w:rPr>
        <w:t>)</w:t>
      </w:r>
      <w:r w:rsidRPr="001870E6">
        <w:rPr>
          <w:rFonts w:ascii="Arial" w:hAnsi="Arial" w:cs="Arial"/>
          <w:color w:val="000000"/>
          <w:lang w:val="lt-LT"/>
        </w:rPr>
        <w:t>. Esant šiam laidininko ilgiui didesniam kaip 60 metrų</w:t>
      </w:r>
      <w:r w:rsidR="00D34533">
        <w:rPr>
          <w:rFonts w:ascii="Arial" w:hAnsi="Arial" w:cs="Arial"/>
          <w:color w:val="000000"/>
          <w:lang w:val="lt-LT"/>
        </w:rPr>
        <w:t xml:space="preserve"> </w:t>
      </w:r>
      <w:r w:rsidR="00D34533" w:rsidRPr="00D34533">
        <w:rPr>
          <w:rFonts w:ascii="Arial" w:hAnsi="Arial" w:cs="Arial"/>
          <w:i/>
          <w:color w:val="000000"/>
          <w:lang w:val="lt-LT"/>
        </w:rPr>
        <w:t>(2 pav.)</w:t>
      </w:r>
      <w:r w:rsidRPr="001870E6">
        <w:rPr>
          <w:rFonts w:ascii="Arial" w:hAnsi="Arial" w:cs="Arial"/>
          <w:color w:val="000000"/>
          <w:lang w:val="lt-LT"/>
        </w:rPr>
        <w:t xml:space="preserve">, prie viršįtampiams jautrių įrenginių šynose numatyti viršįtampių ribotuvus, kurių linijos iškrovos klasė ne žemesnė kaip III-čia su </w:t>
      </w:r>
      <w:r w:rsidRPr="001870E6">
        <w:rPr>
          <w:rFonts w:ascii="Arial" w:hAnsi="Arial" w:cs="Arial"/>
          <w:i/>
          <w:color w:val="000000"/>
          <w:lang w:val="lt-LT"/>
        </w:rPr>
        <w:lastRenderedPageBreak/>
        <w:t>U</w:t>
      </w:r>
      <w:r w:rsidRPr="001870E6">
        <w:rPr>
          <w:rFonts w:ascii="Arial" w:hAnsi="Arial" w:cs="Arial"/>
          <w:i/>
          <w:color w:val="000000"/>
          <w:vertAlign w:val="subscript"/>
          <w:lang w:val="lt-LT"/>
        </w:rPr>
        <w:t>c</w:t>
      </w:r>
      <w:r w:rsidRPr="001870E6">
        <w:rPr>
          <w:rFonts w:ascii="Arial" w:hAnsi="Arial" w:cs="Arial"/>
          <w:color w:val="000000"/>
          <w:lang w:val="lt-LT"/>
        </w:rPr>
        <w:t xml:space="preserve"> </w:t>
      </w:r>
      <w:r w:rsidRPr="001870E6">
        <w:rPr>
          <w:rFonts w:ascii="Arial" w:hAnsi="Arial" w:cs="Arial"/>
          <w:lang w:val="lt-LT"/>
        </w:rPr>
        <w:t>–</w:t>
      </w:r>
      <w:r w:rsidRPr="001870E6">
        <w:rPr>
          <w:rFonts w:ascii="Arial" w:hAnsi="Arial" w:cs="Arial"/>
          <w:color w:val="000000"/>
          <w:lang w:val="lt-LT"/>
        </w:rPr>
        <w:t xml:space="preserve"> nuo 221 kV iki 226 kV, </w:t>
      </w:r>
      <w:r w:rsidRPr="001870E6">
        <w:rPr>
          <w:rFonts w:ascii="Arial" w:hAnsi="Arial" w:cs="Arial"/>
          <w:i/>
          <w:color w:val="000000"/>
          <w:lang w:val="lt-LT"/>
        </w:rPr>
        <w:t>U</w:t>
      </w:r>
      <w:r w:rsidRPr="001870E6">
        <w:rPr>
          <w:rFonts w:ascii="Arial" w:hAnsi="Arial" w:cs="Arial"/>
          <w:i/>
          <w:color w:val="000000"/>
          <w:vertAlign w:val="subscript"/>
          <w:lang w:val="lt-LT"/>
        </w:rPr>
        <w:t>r</w:t>
      </w:r>
      <w:r w:rsidRPr="001870E6">
        <w:rPr>
          <w:rFonts w:ascii="Arial" w:hAnsi="Arial" w:cs="Arial"/>
          <w:color w:val="000000"/>
          <w:lang w:val="lt-LT"/>
        </w:rPr>
        <w:t xml:space="preserve"> </w:t>
      </w:r>
      <w:r w:rsidRPr="001870E6">
        <w:rPr>
          <w:rFonts w:ascii="Arial" w:hAnsi="Arial" w:cs="Arial"/>
          <w:lang w:val="lt-LT"/>
        </w:rPr>
        <w:t>–</w:t>
      </w:r>
      <w:r w:rsidRPr="001870E6">
        <w:rPr>
          <w:rFonts w:ascii="Arial" w:hAnsi="Arial" w:cs="Arial"/>
          <w:color w:val="000000"/>
          <w:lang w:val="lt-LT"/>
        </w:rPr>
        <w:t xml:space="preserve"> nuo 276 kV iki 288 ir energijos absorbavimo geba ne mažesnė kaip 7,4 kJ/kV pagal </w:t>
      </w:r>
      <w:r w:rsidRPr="001870E6">
        <w:rPr>
          <w:rFonts w:ascii="Arial" w:hAnsi="Arial" w:cs="Arial"/>
          <w:i/>
          <w:lang w:val="lt-LT"/>
        </w:rPr>
        <w:t>U</w:t>
      </w:r>
      <w:r w:rsidRPr="001870E6">
        <w:rPr>
          <w:rFonts w:ascii="Arial" w:hAnsi="Arial" w:cs="Arial"/>
          <w:vertAlign w:val="subscript"/>
          <w:lang w:val="lt-LT"/>
        </w:rPr>
        <w:t>c</w:t>
      </w:r>
      <w:r w:rsidRPr="001870E6">
        <w:rPr>
          <w:rFonts w:ascii="Arial" w:hAnsi="Arial" w:cs="Arial"/>
          <w:color w:val="000000"/>
          <w:lang w:val="lt-LT"/>
        </w:rPr>
        <w:t xml:space="preserve">  ir </w:t>
      </w:r>
      <w:r w:rsidRPr="001870E6">
        <w:rPr>
          <w:rFonts w:ascii="Arial" w:hAnsi="Arial" w:cs="Arial"/>
          <w:lang w:val="lt-LT"/>
        </w:rPr>
        <w:t xml:space="preserve">ne mažesne kaip 6,0 kJ/kV pagal </w:t>
      </w:r>
      <w:r w:rsidRPr="001870E6">
        <w:rPr>
          <w:rFonts w:ascii="Arial" w:hAnsi="Arial" w:cs="Arial"/>
          <w:i/>
          <w:lang w:val="lt-LT"/>
        </w:rPr>
        <w:t>U</w:t>
      </w:r>
      <w:r w:rsidRPr="001870E6">
        <w:rPr>
          <w:rFonts w:ascii="Arial" w:hAnsi="Arial" w:cs="Arial"/>
          <w:vertAlign w:val="subscript"/>
          <w:lang w:val="lt-LT"/>
        </w:rPr>
        <w:t>r</w:t>
      </w:r>
      <w:r w:rsidRPr="001870E6">
        <w:rPr>
          <w:rFonts w:ascii="Arial" w:hAnsi="Arial" w:cs="Arial"/>
          <w:color w:val="000000"/>
          <w:lang w:val="lt-LT"/>
        </w:rPr>
        <w:t>.</w:t>
      </w:r>
    </w:p>
    <w:p w14:paraId="642299D7" w14:textId="77777777" w:rsidR="00272FAB" w:rsidRPr="00272FAB" w:rsidRDefault="00B02470" w:rsidP="00272FAB">
      <w:pPr>
        <w:tabs>
          <w:tab w:val="left" w:pos="709"/>
        </w:tabs>
        <w:jc w:val="center"/>
        <w:rPr>
          <w:rFonts w:ascii="Arial" w:hAnsi="Arial" w:cs="Arial"/>
          <w:color w:val="000000"/>
        </w:rPr>
      </w:pPr>
      <w:r>
        <w:rPr>
          <w:noProof/>
        </w:rPr>
        <w:drawing>
          <wp:inline distT="0" distB="0" distL="0" distR="0" wp14:anchorId="2B15CB14" wp14:editId="7E1C76FC">
            <wp:extent cx="3626427" cy="33845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60236" cy="3416104"/>
                    </a:xfrm>
                    <a:prstGeom prst="rect">
                      <a:avLst/>
                    </a:prstGeom>
                  </pic:spPr>
                </pic:pic>
              </a:graphicData>
            </a:graphic>
          </wp:inline>
        </w:drawing>
      </w:r>
    </w:p>
    <w:p w14:paraId="1E74B9D4" w14:textId="77777777" w:rsidR="00FF7077" w:rsidRPr="00272FAB" w:rsidRDefault="00272FAB" w:rsidP="00272FAB">
      <w:pPr>
        <w:pStyle w:val="ListParagraph"/>
        <w:tabs>
          <w:tab w:val="left" w:pos="709"/>
        </w:tabs>
        <w:ind w:left="709"/>
        <w:contextualSpacing w:val="0"/>
        <w:jc w:val="center"/>
        <w:rPr>
          <w:rFonts w:ascii="Arial" w:hAnsi="Arial" w:cs="Arial"/>
          <w:color w:val="000000"/>
          <w:lang w:val="lt-LT"/>
        </w:rPr>
      </w:pPr>
      <w:r>
        <w:rPr>
          <w:rFonts w:ascii="Arial" w:hAnsi="Arial" w:cs="Arial"/>
          <w:sz w:val="20"/>
          <w:szCs w:val="20"/>
          <w:lang w:val="lt-LT"/>
        </w:rPr>
        <w:t>2</w:t>
      </w:r>
      <w:r w:rsidRPr="00272FAB">
        <w:rPr>
          <w:rFonts w:ascii="Arial" w:hAnsi="Arial" w:cs="Arial"/>
          <w:sz w:val="20"/>
          <w:szCs w:val="20"/>
          <w:lang w:val="lt-LT"/>
        </w:rPr>
        <w:t xml:space="preserve"> pav. Atstumai nuo viršįtampių ribotuvų iki saugomų nuo viršįtampių įrenginių</w:t>
      </w:r>
    </w:p>
    <w:p w14:paraId="7F09C2FE" w14:textId="77777777" w:rsidR="00272FAB" w:rsidRPr="001870E6" w:rsidRDefault="00272FAB" w:rsidP="00FF7077">
      <w:pPr>
        <w:pStyle w:val="ListParagraph"/>
        <w:tabs>
          <w:tab w:val="left" w:pos="709"/>
        </w:tabs>
        <w:ind w:left="709"/>
        <w:contextualSpacing w:val="0"/>
        <w:jc w:val="both"/>
        <w:rPr>
          <w:rFonts w:ascii="Arial" w:hAnsi="Arial" w:cs="Arial"/>
          <w:color w:val="000000"/>
          <w:lang w:val="lt-LT"/>
        </w:rPr>
      </w:pPr>
    </w:p>
    <w:p w14:paraId="348A8754" w14:textId="77777777" w:rsidR="0014173B" w:rsidRDefault="0014173B" w:rsidP="00FF7077">
      <w:pPr>
        <w:pStyle w:val="ListParagraph"/>
        <w:numPr>
          <w:ilvl w:val="0"/>
          <w:numId w:val="8"/>
        </w:numPr>
        <w:ind w:left="426" w:hanging="357"/>
        <w:contextualSpacing w:val="0"/>
        <w:jc w:val="both"/>
        <w:rPr>
          <w:rFonts w:ascii="Arial" w:hAnsi="Arial" w:cs="Arial"/>
          <w:color w:val="000000"/>
          <w:lang w:val="lt-LT"/>
        </w:rPr>
      </w:pPr>
      <w:r w:rsidRPr="001870E6">
        <w:rPr>
          <w:rFonts w:ascii="Arial" w:hAnsi="Arial" w:cs="Arial"/>
          <w:color w:val="000000"/>
          <w:lang w:val="lt-LT"/>
        </w:rPr>
        <w:t>Jei tarp 330 kV skirstyklos ir blokinio galios transformatoriaus (elektrinėse) yra oro linija</w:t>
      </w:r>
      <w:r w:rsidR="00272FAB">
        <w:rPr>
          <w:rFonts w:ascii="Arial" w:hAnsi="Arial" w:cs="Arial"/>
          <w:color w:val="000000"/>
          <w:lang w:val="lt-LT"/>
        </w:rPr>
        <w:t xml:space="preserve"> </w:t>
      </w:r>
      <w:r w:rsidR="00272FAB" w:rsidRPr="00272FAB">
        <w:rPr>
          <w:rFonts w:ascii="Arial" w:hAnsi="Arial" w:cs="Arial"/>
          <w:i/>
          <w:color w:val="000000"/>
          <w:lang w:val="lt-LT"/>
        </w:rPr>
        <w:t>(3</w:t>
      </w:r>
      <w:r w:rsidR="006521BA">
        <w:rPr>
          <w:rFonts w:ascii="Arial" w:hAnsi="Arial" w:cs="Arial"/>
          <w:i/>
          <w:color w:val="000000"/>
          <w:lang w:val="lt-LT"/>
        </w:rPr>
        <w:t xml:space="preserve"> ir 4</w:t>
      </w:r>
      <w:r w:rsidR="00272FAB" w:rsidRPr="00272FAB">
        <w:rPr>
          <w:rFonts w:ascii="Arial" w:hAnsi="Arial" w:cs="Arial"/>
          <w:i/>
          <w:color w:val="000000"/>
          <w:lang w:val="lt-LT"/>
        </w:rPr>
        <w:t xml:space="preserve"> pav.)</w:t>
      </w:r>
      <w:r w:rsidRPr="001870E6">
        <w:rPr>
          <w:rFonts w:ascii="Arial" w:hAnsi="Arial" w:cs="Arial"/>
          <w:color w:val="000000"/>
          <w:lang w:val="lt-LT"/>
        </w:rPr>
        <w:t xml:space="preserve">, kurios ilgis daugiau kaip </w:t>
      </w:r>
      <w:smartTag w:uri="urn:schemas-microsoft-com:office:smarttags" w:element="metricconverter">
        <w:smartTagPr>
          <w:attr w:name="ProductID" w:val="300 m"/>
        </w:smartTagPr>
        <w:r w:rsidRPr="001870E6">
          <w:rPr>
            <w:rFonts w:ascii="Arial" w:hAnsi="Arial" w:cs="Arial"/>
            <w:color w:val="000000"/>
            <w:lang w:val="lt-LT"/>
          </w:rPr>
          <w:t>300 m</w:t>
        </w:r>
      </w:smartTag>
      <w:r w:rsidRPr="001870E6">
        <w:rPr>
          <w:rFonts w:ascii="Arial" w:hAnsi="Arial" w:cs="Arial"/>
          <w:color w:val="000000"/>
          <w:lang w:val="lt-LT"/>
        </w:rPr>
        <w:t>. tuomet linijos prijunginiuose</w:t>
      </w:r>
      <w:r w:rsidR="00790D4D">
        <w:rPr>
          <w:rFonts w:ascii="Arial" w:hAnsi="Arial" w:cs="Arial"/>
          <w:color w:val="000000"/>
          <w:lang w:val="lt-LT"/>
        </w:rPr>
        <w:t xml:space="preserve"> ir prie galios transformatoriaus </w:t>
      </w:r>
      <w:r w:rsidRPr="001870E6">
        <w:rPr>
          <w:rFonts w:ascii="Arial" w:hAnsi="Arial" w:cs="Arial"/>
          <w:color w:val="000000"/>
          <w:lang w:val="lt-LT"/>
        </w:rPr>
        <w:t xml:space="preserve"> turi būti įrengiami viršįtampių ribotuvai ne žemesnės kaip IV-tos linijos iškrovos klasės su </w:t>
      </w:r>
      <w:r w:rsidRPr="001870E6">
        <w:rPr>
          <w:rFonts w:ascii="Arial" w:hAnsi="Arial" w:cs="Arial"/>
          <w:i/>
          <w:color w:val="000000"/>
          <w:lang w:val="lt-LT"/>
        </w:rPr>
        <w:t>U</w:t>
      </w:r>
      <w:r w:rsidRPr="001870E6">
        <w:rPr>
          <w:rFonts w:ascii="Arial" w:hAnsi="Arial" w:cs="Arial"/>
          <w:i/>
          <w:color w:val="000000"/>
          <w:vertAlign w:val="subscript"/>
          <w:lang w:val="lt-LT"/>
        </w:rPr>
        <w:t xml:space="preserve">c </w:t>
      </w:r>
      <w:r w:rsidRPr="001870E6">
        <w:rPr>
          <w:rFonts w:ascii="Arial" w:hAnsi="Arial" w:cs="Arial"/>
          <w:lang w:val="lt-LT"/>
        </w:rPr>
        <w:t>–</w:t>
      </w:r>
      <w:r w:rsidRPr="001870E6">
        <w:rPr>
          <w:rFonts w:ascii="Arial" w:hAnsi="Arial" w:cs="Arial"/>
          <w:color w:val="000000"/>
          <w:lang w:val="lt-LT"/>
        </w:rPr>
        <w:t xml:space="preserve"> nuo 226 kV iki 230 kV, </w:t>
      </w:r>
      <w:r w:rsidRPr="001870E6">
        <w:rPr>
          <w:rFonts w:ascii="Arial" w:hAnsi="Arial" w:cs="Arial"/>
          <w:i/>
          <w:color w:val="000000"/>
          <w:lang w:val="lt-LT"/>
        </w:rPr>
        <w:t>U</w:t>
      </w:r>
      <w:r w:rsidRPr="001870E6">
        <w:rPr>
          <w:rFonts w:ascii="Arial" w:hAnsi="Arial" w:cs="Arial"/>
          <w:i/>
          <w:color w:val="000000"/>
          <w:vertAlign w:val="subscript"/>
          <w:lang w:val="lt-LT"/>
        </w:rPr>
        <w:t xml:space="preserve">r </w:t>
      </w:r>
      <w:r w:rsidRPr="001870E6">
        <w:rPr>
          <w:rFonts w:ascii="Arial" w:hAnsi="Arial" w:cs="Arial"/>
          <w:lang w:val="lt-LT"/>
        </w:rPr>
        <w:t>–</w:t>
      </w:r>
      <w:r w:rsidRPr="001870E6">
        <w:rPr>
          <w:rFonts w:ascii="Arial" w:hAnsi="Arial" w:cs="Arial"/>
          <w:color w:val="000000"/>
          <w:lang w:val="lt-LT"/>
        </w:rPr>
        <w:t xml:space="preserve"> nuo 276 kV iki 288 kV ir energijos absorbavimo geba pagal </w:t>
      </w:r>
      <w:r w:rsidRPr="001870E6">
        <w:rPr>
          <w:rFonts w:ascii="Arial" w:hAnsi="Arial" w:cs="Arial"/>
          <w:i/>
          <w:lang w:val="lt-LT"/>
        </w:rPr>
        <w:t>U</w:t>
      </w:r>
      <w:r w:rsidRPr="001870E6">
        <w:rPr>
          <w:rFonts w:ascii="Arial" w:hAnsi="Arial" w:cs="Arial"/>
          <w:vertAlign w:val="subscript"/>
          <w:lang w:val="lt-LT"/>
        </w:rPr>
        <w:t>c</w:t>
      </w:r>
      <w:r w:rsidRPr="001870E6">
        <w:rPr>
          <w:rFonts w:ascii="Arial" w:hAnsi="Arial" w:cs="Arial"/>
          <w:color w:val="000000"/>
          <w:lang w:val="lt-LT"/>
        </w:rPr>
        <w:t xml:space="preserve"> ne mažesne kaip 10,8 kJ/kV, pagal </w:t>
      </w:r>
      <w:r w:rsidRPr="001870E6">
        <w:rPr>
          <w:rFonts w:ascii="Arial" w:hAnsi="Arial" w:cs="Arial"/>
          <w:i/>
          <w:lang w:val="lt-LT"/>
        </w:rPr>
        <w:t>U</w:t>
      </w:r>
      <w:r w:rsidRPr="001870E6">
        <w:rPr>
          <w:rFonts w:ascii="Arial" w:hAnsi="Arial" w:cs="Arial"/>
          <w:vertAlign w:val="subscript"/>
          <w:lang w:val="lt-LT"/>
        </w:rPr>
        <w:t>r</w:t>
      </w:r>
      <w:r w:rsidRPr="001870E6">
        <w:rPr>
          <w:rFonts w:ascii="Arial" w:hAnsi="Arial" w:cs="Arial"/>
          <w:lang w:val="lt-LT"/>
        </w:rPr>
        <w:t xml:space="preserve"> ne mažesne kaip 9 kJ/kV</w:t>
      </w:r>
      <w:r w:rsidR="00790D4D">
        <w:rPr>
          <w:rFonts w:ascii="Arial" w:hAnsi="Arial" w:cs="Arial"/>
          <w:color w:val="000000"/>
          <w:lang w:val="lt-LT"/>
        </w:rPr>
        <w:t xml:space="preserve">. </w:t>
      </w:r>
      <w:r w:rsidR="001B7570">
        <w:rPr>
          <w:rFonts w:ascii="Arial" w:hAnsi="Arial" w:cs="Arial"/>
          <w:color w:val="000000"/>
          <w:lang w:val="lt-LT"/>
        </w:rPr>
        <w:t>Jeigu papildomai reikalingas v</w:t>
      </w:r>
      <w:r w:rsidR="00790D4D">
        <w:rPr>
          <w:rFonts w:ascii="Arial" w:hAnsi="Arial" w:cs="Arial"/>
          <w:color w:val="000000"/>
          <w:lang w:val="lt-LT"/>
        </w:rPr>
        <w:t>iršįtampių ribotuvų</w:t>
      </w:r>
      <w:r w:rsidR="00A968EB">
        <w:rPr>
          <w:rFonts w:ascii="Arial" w:hAnsi="Arial" w:cs="Arial"/>
          <w:color w:val="000000"/>
          <w:lang w:val="lt-LT"/>
        </w:rPr>
        <w:t xml:space="preserve"> įrengimas</w:t>
      </w:r>
      <w:r w:rsidR="00790D4D">
        <w:rPr>
          <w:rFonts w:ascii="Arial" w:hAnsi="Arial" w:cs="Arial"/>
          <w:color w:val="000000"/>
          <w:lang w:val="lt-LT"/>
        </w:rPr>
        <w:t xml:space="preserve"> šynų</w:t>
      </w:r>
      <w:r w:rsidRPr="001870E6">
        <w:rPr>
          <w:rFonts w:ascii="Arial" w:hAnsi="Arial" w:cs="Arial"/>
          <w:color w:val="000000"/>
          <w:lang w:val="lt-LT"/>
        </w:rPr>
        <w:t xml:space="preserve"> prijunginiuose</w:t>
      </w:r>
      <w:r w:rsidR="00A968EB">
        <w:rPr>
          <w:rFonts w:ascii="Arial" w:hAnsi="Arial" w:cs="Arial"/>
          <w:color w:val="000000"/>
          <w:lang w:val="lt-LT"/>
        </w:rPr>
        <w:t xml:space="preserve">, tuomet parenkama </w:t>
      </w:r>
      <w:r w:rsidRPr="001870E6">
        <w:rPr>
          <w:rFonts w:ascii="Arial" w:hAnsi="Arial" w:cs="Arial"/>
          <w:color w:val="000000"/>
          <w:lang w:val="lt-LT"/>
        </w:rPr>
        <w:t xml:space="preserve"> </w:t>
      </w:r>
      <w:r w:rsidR="00790D4D" w:rsidRPr="001870E6">
        <w:rPr>
          <w:rFonts w:ascii="Arial" w:hAnsi="Arial" w:cs="Arial"/>
          <w:color w:val="000000"/>
          <w:lang w:val="lt-LT"/>
        </w:rPr>
        <w:t xml:space="preserve">linijos iškrovos klasė ne žemesnė kaip III-čia su </w:t>
      </w:r>
      <w:r w:rsidR="00790D4D" w:rsidRPr="001870E6">
        <w:rPr>
          <w:rFonts w:ascii="Arial" w:hAnsi="Arial" w:cs="Arial"/>
          <w:i/>
          <w:color w:val="000000"/>
          <w:lang w:val="lt-LT"/>
        </w:rPr>
        <w:t>U</w:t>
      </w:r>
      <w:r w:rsidR="00790D4D" w:rsidRPr="001870E6">
        <w:rPr>
          <w:rFonts w:ascii="Arial" w:hAnsi="Arial" w:cs="Arial"/>
          <w:i/>
          <w:color w:val="000000"/>
          <w:vertAlign w:val="subscript"/>
          <w:lang w:val="lt-LT"/>
        </w:rPr>
        <w:t>c</w:t>
      </w:r>
      <w:r w:rsidR="00790D4D" w:rsidRPr="001870E6">
        <w:rPr>
          <w:rFonts w:ascii="Arial" w:hAnsi="Arial" w:cs="Arial"/>
          <w:color w:val="000000"/>
          <w:lang w:val="lt-LT"/>
        </w:rPr>
        <w:t xml:space="preserve"> </w:t>
      </w:r>
      <w:r w:rsidR="00790D4D" w:rsidRPr="001870E6">
        <w:rPr>
          <w:rFonts w:ascii="Arial" w:hAnsi="Arial" w:cs="Arial"/>
          <w:lang w:val="lt-LT"/>
        </w:rPr>
        <w:t>–</w:t>
      </w:r>
      <w:r w:rsidR="00790D4D" w:rsidRPr="001870E6">
        <w:rPr>
          <w:rFonts w:ascii="Arial" w:hAnsi="Arial" w:cs="Arial"/>
          <w:color w:val="000000"/>
          <w:lang w:val="lt-LT"/>
        </w:rPr>
        <w:t xml:space="preserve"> nuo 221 kV iki 226 kV, </w:t>
      </w:r>
      <w:r w:rsidR="00790D4D" w:rsidRPr="001870E6">
        <w:rPr>
          <w:rFonts w:ascii="Arial" w:hAnsi="Arial" w:cs="Arial"/>
          <w:i/>
          <w:color w:val="000000"/>
          <w:lang w:val="lt-LT"/>
        </w:rPr>
        <w:t>U</w:t>
      </w:r>
      <w:r w:rsidR="00790D4D" w:rsidRPr="001870E6">
        <w:rPr>
          <w:rFonts w:ascii="Arial" w:hAnsi="Arial" w:cs="Arial"/>
          <w:i/>
          <w:color w:val="000000"/>
          <w:vertAlign w:val="subscript"/>
          <w:lang w:val="lt-LT"/>
        </w:rPr>
        <w:t>r</w:t>
      </w:r>
      <w:r w:rsidR="00790D4D" w:rsidRPr="001870E6">
        <w:rPr>
          <w:rFonts w:ascii="Arial" w:hAnsi="Arial" w:cs="Arial"/>
          <w:color w:val="000000"/>
          <w:lang w:val="lt-LT"/>
        </w:rPr>
        <w:t xml:space="preserve"> </w:t>
      </w:r>
      <w:r w:rsidR="00790D4D" w:rsidRPr="001870E6">
        <w:rPr>
          <w:rFonts w:ascii="Arial" w:hAnsi="Arial" w:cs="Arial"/>
          <w:lang w:val="lt-LT"/>
        </w:rPr>
        <w:t>–</w:t>
      </w:r>
      <w:r w:rsidR="00790D4D" w:rsidRPr="001870E6">
        <w:rPr>
          <w:rFonts w:ascii="Arial" w:hAnsi="Arial" w:cs="Arial"/>
          <w:color w:val="000000"/>
          <w:lang w:val="lt-LT"/>
        </w:rPr>
        <w:t xml:space="preserve"> nuo 276 kV iki 288 ir energijos absorbavimo geba ne mažesnė kaip 7,4 kJ/kV pagal </w:t>
      </w:r>
      <w:r w:rsidR="00790D4D" w:rsidRPr="001870E6">
        <w:rPr>
          <w:rFonts w:ascii="Arial" w:hAnsi="Arial" w:cs="Arial"/>
          <w:i/>
          <w:lang w:val="lt-LT"/>
        </w:rPr>
        <w:t>U</w:t>
      </w:r>
      <w:r w:rsidR="00790D4D" w:rsidRPr="001870E6">
        <w:rPr>
          <w:rFonts w:ascii="Arial" w:hAnsi="Arial" w:cs="Arial"/>
          <w:vertAlign w:val="subscript"/>
          <w:lang w:val="lt-LT"/>
        </w:rPr>
        <w:t>c</w:t>
      </w:r>
      <w:r w:rsidR="00790D4D" w:rsidRPr="001870E6">
        <w:rPr>
          <w:rFonts w:ascii="Arial" w:hAnsi="Arial" w:cs="Arial"/>
          <w:color w:val="000000"/>
          <w:lang w:val="lt-LT"/>
        </w:rPr>
        <w:t xml:space="preserve">  ir </w:t>
      </w:r>
      <w:r w:rsidR="00790D4D" w:rsidRPr="001870E6">
        <w:rPr>
          <w:rFonts w:ascii="Arial" w:hAnsi="Arial" w:cs="Arial"/>
          <w:lang w:val="lt-LT"/>
        </w:rPr>
        <w:t xml:space="preserve">ne mažesne kaip 6,0 kJ/kV pagal </w:t>
      </w:r>
      <w:r w:rsidR="00790D4D" w:rsidRPr="001870E6">
        <w:rPr>
          <w:rFonts w:ascii="Arial" w:hAnsi="Arial" w:cs="Arial"/>
          <w:i/>
          <w:lang w:val="lt-LT"/>
        </w:rPr>
        <w:t>U</w:t>
      </w:r>
      <w:r w:rsidR="00790D4D" w:rsidRPr="001870E6">
        <w:rPr>
          <w:rFonts w:ascii="Arial" w:hAnsi="Arial" w:cs="Arial"/>
          <w:vertAlign w:val="subscript"/>
          <w:lang w:val="lt-LT"/>
        </w:rPr>
        <w:t>r</w:t>
      </w:r>
      <w:r w:rsidR="00790D4D" w:rsidRPr="001870E6">
        <w:rPr>
          <w:rFonts w:ascii="Arial" w:hAnsi="Arial" w:cs="Arial"/>
          <w:color w:val="000000"/>
          <w:lang w:val="lt-LT"/>
        </w:rPr>
        <w:t>.</w:t>
      </w:r>
      <w:r w:rsidR="00790D4D">
        <w:rPr>
          <w:rFonts w:ascii="Arial" w:hAnsi="Arial" w:cs="Arial"/>
          <w:color w:val="000000"/>
          <w:lang w:val="lt-LT"/>
        </w:rPr>
        <w:t xml:space="preserve"> (</w:t>
      </w:r>
      <w:r w:rsidR="00790D4D">
        <w:rPr>
          <w:rFonts w:ascii="Arial" w:hAnsi="Arial" w:cs="Arial"/>
          <w:i/>
          <w:color w:val="000000"/>
          <w:lang w:val="lt-LT"/>
        </w:rPr>
        <w:t>4</w:t>
      </w:r>
      <w:r w:rsidR="00790D4D" w:rsidRPr="00272FAB">
        <w:rPr>
          <w:rFonts w:ascii="Arial" w:hAnsi="Arial" w:cs="Arial"/>
          <w:i/>
          <w:color w:val="000000"/>
          <w:lang w:val="lt-LT"/>
        </w:rPr>
        <w:t xml:space="preserve"> pav.</w:t>
      </w:r>
      <w:r w:rsidR="00790D4D">
        <w:rPr>
          <w:rFonts w:ascii="Arial" w:hAnsi="Arial" w:cs="Arial"/>
          <w:color w:val="000000"/>
          <w:lang w:val="lt-LT"/>
        </w:rPr>
        <w:t>)</w:t>
      </w:r>
      <w:r w:rsidRPr="001870E6">
        <w:rPr>
          <w:rFonts w:ascii="Arial" w:hAnsi="Arial" w:cs="Arial"/>
          <w:color w:val="000000"/>
          <w:lang w:val="lt-LT"/>
        </w:rPr>
        <w:t>.</w:t>
      </w:r>
    </w:p>
    <w:p w14:paraId="41768180" w14:textId="77777777" w:rsidR="00272FAB" w:rsidRDefault="00272FAB" w:rsidP="00272FAB">
      <w:pPr>
        <w:jc w:val="both"/>
        <w:rPr>
          <w:rFonts w:ascii="Arial" w:hAnsi="Arial" w:cs="Arial"/>
          <w:color w:val="000000"/>
        </w:rPr>
      </w:pPr>
    </w:p>
    <w:p w14:paraId="7A52D91F" w14:textId="77777777" w:rsidR="00272FAB" w:rsidRPr="00272FAB" w:rsidRDefault="00935C2A" w:rsidP="00555D85">
      <w:pPr>
        <w:jc w:val="center"/>
        <w:rPr>
          <w:rFonts w:ascii="Arial" w:hAnsi="Arial" w:cs="Arial"/>
          <w:color w:val="000000"/>
        </w:rPr>
      </w:pPr>
      <w:r>
        <w:rPr>
          <w:noProof/>
        </w:rPr>
        <w:lastRenderedPageBreak/>
        <w:drawing>
          <wp:inline distT="0" distB="0" distL="0" distR="0" wp14:anchorId="250D8EA5" wp14:editId="14261567">
            <wp:extent cx="3638550" cy="3638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38550" cy="3638550"/>
                    </a:xfrm>
                    <a:prstGeom prst="rect">
                      <a:avLst/>
                    </a:prstGeom>
                  </pic:spPr>
                </pic:pic>
              </a:graphicData>
            </a:graphic>
          </wp:inline>
        </w:drawing>
      </w:r>
    </w:p>
    <w:p w14:paraId="5760815B" w14:textId="77777777" w:rsidR="00FF7077" w:rsidRDefault="00555D85" w:rsidP="00555D85">
      <w:pPr>
        <w:pStyle w:val="ListParagraph"/>
        <w:ind w:left="426"/>
        <w:contextualSpacing w:val="0"/>
        <w:jc w:val="center"/>
        <w:rPr>
          <w:rFonts w:ascii="Arial" w:hAnsi="Arial" w:cs="Arial"/>
          <w:sz w:val="20"/>
          <w:szCs w:val="20"/>
          <w:lang w:val="lt-LT"/>
        </w:rPr>
      </w:pPr>
      <w:r>
        <w:rPr>
          <w:rFonts w:ascii="Arial" w:hAnsi="Arial" w:cs="Arial"/>
          <w:sz w:val="20"/>
          <w:szCs w:val="20"/>
          <w:lang w:val="lt-LT"/>
        </w:rPr>
        <w:t>3</w:t>
      </w:r>
      <w:r w:rsidRPr="00272FAB">
        <w:rPr>
          <w:rFonts w:ascii="Arial" w:hAnsi="Arial" w:cs="Arial"/>
          <w:sz w:val="20"/>
          <w:szCs w:val="20"/>
          <w:lang w:val="lt-LT"/>
        </w:rPr>
        <w:t xml:space="preserve"> pav. Atstumai nuo viršįtampių ribotuvų iki saugomų nuo viršįtampių įrenginių</w:t>
      </w:r>
    </w:p>
    <w:p w14:paraId="2C4F6D15" w14:textId="77777777" w:rsidR="00555D85" w:rsidRDefault="00DE7421" w:rsidP="00555D85">
      <w:pPr>
        <w:pStyle w:val="ListParagraph"/>
        <w:ind w:left="426"/>
        <w:contextualSpacing w:val="0"/>
        <w:jc w:val="center"/>
        <w:rPr>
          <w:rFonts w:ascii="Arial" w:hAnsi="Arial" w:cs="Arial"/>
          <w:color w:val="000000"/>
          <w:lang w:val="lt-LT"/>
        </w:rPr>
      </w:pPr>
      <w:r>
        <w:rPr>
          <w:noProof/>
        </w:rPr>
        <w:drawing>
          <wp:inline distT="0" distB="0" distL="0" distR="0" wp14:anchorId="140FD282" wp14:editId="3E0B80A5">
            <wp:extent cx="4235450" cy="3843028"/>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51314" cy="3857422"/>
                    </a:xfrm>
                    <a:prstGeom prst="rect">
                      <a:avLst/>
                    </a:prstGeom>
                  </pic:spPr>
                </pic:pic>
              </a:graphicData>
            </a:graphic>
          </wp:inline>
        </w:drawing>
      </w:r>
    </w:p>
    <w:p w14:paraId="7E187D1E" w14:textId="77777777" w:rsidR="00555D85" w:rsidRDefault="006521BA" w:rsidP="006521BA">
      <w:pPr>
        <w:pStyle w:val="ListParagraph"/>
        <w:ind w:left="426"/>
        <w:contextualSpacing w:val="0"/>
        <w:jc w:val="center"/>
        <w:rPr>
          <w:rFonts w:ascii="Arial" w:hAnsi="Arial" w:cs="Arial"/>
          <w:sz w:val="20"/>
          <w:szCs w:val="20"/>
          <w:lang w:val="lt-LT"/>
        </w:rPr>
      </w:pPr>
      <w:r>
        <w:rPr>
          <w:rFonts w:ascii="Arial" w:hAnsi="Arial" w:cs="Arial"/>
          <w:sz w:val="20"/>
          <w:szCs w:val="20"/>
          <w:lang w:val="lt-LT"/>
        </w:rPr>
        <w:t>4</w:t>
      </w:r>
      <w:r w:rsidRPr="00272FAB">
        <w:rPr>
          <w:rFonts w:ascii="Arial" w:hAnsi="Arial" w:cs="Arial"/>
          <w:sz w:val="20"/>
          <w:szCs w:val="20"/>
          <w:lang w:val="lt-LT"/>
        </w:rPr>
        <w:t xml:space="preserve"> pav. Atstumai nuo viršįtampių ribotuvų iki saugomų nuo viršįtampių įrenginių</w:t>
      </w:r>
    </w:p>
    <w:p w14:paraId="0C84D479" w14:textId="77777777" w:rsidR="006521BA" w:rsidRPr="001870E6" w:rsidRDefault="006521BA" w:rsidP="006521BA">
      <w:pPr>
        <w:pStyle w:val="ListParagraph"/>
        <w:ind w:left="426"/>
        <w:contextualSpacing w:val="0"/>
        <w:jc w:val="center"/>
        <w:rPr>
          <w:rFonts w:ascii="Arial" w:hAnsi="Arial" w:cs="Arial"/>
          <w:color w:val="000000"/>
          <w:lang w:val="lt-LT"/>
        </w:rPr>
      </w:pPr>
    </w:p>
    <w:p w14:paraId="2F1B0269" w14:textId="77777777" w:rsidR="000A48BA" w:rsidRPr="005E20D6" w:rsidRDefault="000A48BA" w:rsidP="005E20D6">
      <w:pPr>
        <w:pStyle w:val="ListParagraph"/>
        <w:numPr>
          <w:ilvl w:val="0"/>
          <w:numId w:val="8"/>
        </w:numPr>
        <w:ind w:left="426" w:hanging="357"/>
        <w:contextualSpacing w:val="0"/>
        <w:jc w:val="both"/>
        <w:rPr>
          <w:rFonts w:ascii="Arial" w:hAnsi="Arial" w:cs="Arial"/>
          <w:color w:val="000000"/>
          <w:lang w:val="lt-LT"/>
        </w:rPr>
      </w:pPr>
      <w:r w:rsidRPr="005E20D6">
        <w:rPr>
          <w:rFonts w:ascii="Arial" w:hAnsi="Arial" w:cs="Arial"/>
          <w:color w:val="000000"/>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w:t>
      </w:r>
      <w:r w:rsidRPr="005E20D6">
        <w:rPr>
          <w:rFonts w:ascii="Arial" w:hAnsi="Arial" w:cs="Arial"/>
          <w:color w:val="000000"/>
          <w:lang w:val="lt-LT"/>
        </w:rPr>
        <w:lastRenderedPageBreak/>
        <w:t xml:space="preserve">registratorius įrengti vietoje, nutolusioje nuo ribotuvo (pvz. tarpusavyje laidu sujungtų jutiklio ir skaitiklio kombinacija). </w:t>
      </w:r>
    </w:p>
    <w:p w14:paraId="1AE27BCF" w14:textId="77777777" w:rsidR="00FF7077" w:rsidRPr="001870E6" w:rsidRDefault="00FF7077" w:rsidP="00FF7077">
      <w:pPr>
        <w:pStyle w:val="ListParagraph"/>
        <w:ind w:left="426"/>
        <w:contextualSpacing w:val="0"/>
        <w:jc w:val="both"/>
        <w:rPr>
          <w:rFonts w:ascii="Arial" w:hAnsi="Arial" w:cs="Arial"/>
          <w:color w:val="000000"/>
          <w:lang w:val="lt-LT"/>
        </w:rPr>
      </w:pPr>
    </w:p>
    <w:p w14:paraId="2EF122F5" w14:textId="77777777" w:rsidR="00CD2E7F" w:rsidRPr="005E20D6" w:rsidRDefault="00CD2E7F" w:rsidP="005E20D6">
      <w:pPr>
        <w:pStyle w:val="ListParagraph"/>
        <w:numPr>
          <w:ilvl w:val="0"/>
          <w:numId w:val="8"/>
        </w:numPr>
        <w:ind w:left="426" w:hanging="357"/>
        <w:contextualSpacing w:val="0"/>
        <w:jc w:val="both"/>
        <w:rPr>
          <w:rFonts w:ascii="Arial" w:hAnsi="Arial" w:cs="Arial"/>
          <w:color w:val="000000"/>
          <w:lang w:val="lt-LT"/>
        </w:rPr>
      </w:pPr>
      <w:r w:rsidRPr="005E20D6">
        <w:rPr>
          <w:rFonts w:ascii="Arial" w:hAnsi="Arial" w:cs="Arial"/>
          <w:color w:val="000000"/>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0D282774" w14:textId="77777777" w:rsidR="00FF7077" w:rsidRPr="001870E6" w:rsidRDefault="00FF7077" w:rsidP="00FF7077">
      <w:pPr>
        <w:tabs>
          <w:tab w:val="left" w:pos="2160"/>
          <w:tab w:val="left" w:pos="2661"/>
        </w:tabs>
        <w:jc w:val="both"/>
        <w:rPr>
          <w:rFonts w:ascii="Arial" w:hAnsi="Arial" w:cs="Arial"/>
          <w:color w:val="000000"/>
        </w:rPr>
      </w:pPr>
      <w:r w:rsidRPr="001870E6">
        <w:rPr>
          <w:rFonts w:ascii="Arial" w:hAnsi="Arial" w:cs="Arial"/>
          <w:color w:val="000000"/>
        </w:rPr>
        <w:tab/>
      </w:r>
      <w:r w:rsidRPr="001870E6">
        <w:rPr>
          <w:rFonts w:ascii="Arial" w:hAnsi="Arial" w:cs="Arial"/>
          <w:color w:val="000000"/>
        </w:rPr>
        <w:tab/>
      </w:r>
    </w:p>
    <w:p w14:paraId="587E4B1B" w14:textId="77777777" w:rsidR="0014173B" w:rsidRPr="001870E6" w:rsidRDefault="0014173B" w:rsidP="0014173B">
      <w:pPr>
        <w:jc w:val="both"/>
        <w:rPr>
          <w:rFonts w:ascii="Arial" w:hAnsi="Arial" w:cs="Arial"/>
        </w:rPr>
      </w:pPr>
    </w:p>
    <w:sectPr w:rsidR="0014173B" w:rsidRPr="001870E6" w:rsidSect="00B50E06">
      <w:footerReference w:type="default" r:id="rId12"/>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97BA" w14:textId="77777777" w:rsidR="00FC7E2D" w:rsidRDefault="00FC7E2D" w:rsidP="00D95F2A">
      <w:r>
        <w:separator/>
      </w:r>
    </w:p>
  </w:endnote>
  <w:endnote w:type="continuationSeparator" w:id="0">
    <w:p w14:paraId="3D9E3A19" w14:textId="77777777" w:rsidR="00FC7E2D" w:rsidRDefault="00FC7E2D"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632635"/>
      <w:docPartObj>
        <w:docPartGallery w:val="Page Numbers (Bottom of Page)"/>
        <w:docPartUnique/>
      </w:docPartObj>
    </w:sdtPr>
    <w:sdtEndPr/>
    <w:sdtContent>
      <w:sdt>
        <w:sdtPr>
          <w:id w:val="-1769616900"/>
          <w:docPartObj>
            <w:docPartGallery w:val="Page Numbers (Top of Page)"/>
            <w:docPartUnique/>
          </w:docPartObj>
        </w:sdtPr>
        <w:sdtEndPr/>
        <w:sdtContent>
          <w:p w14:paraId="3827F029" w14:textId="2F7FAAFD" w:rsidR="00C71B77" w:rsidRDefault="00C71B77">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6838D9" w14:textId="3938191B"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155A" w14:textId="77777777" w:rsidR="00FC7E2D" w:rsidRDefault="00FC7E2D" w:rsidP="00D95F2A">
      <w:r>
        <w:separator/>
      </w:r>
    </w:p>
  </w:footnote>
  <w:footnote w:type="continuationSeparator" w:id="0">
    <w:p w14:paraId="4CA86C9C" w14:textId="77777777" w:rsidR="00FC7E2D" w:rsidRDefault="00FC7E2D"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0B54AA"/>
    <w:multiLevelType w:val="multilevel"/>
    <w:tmpl w:val="5E24060C"/>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7"/>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341AA"/>
    <w:rsid w:val="000A48BA"/>
    <w:rsid w:val="000C4645"/>
    <w:rsid w:val="000C5A5B"/>
    <w:rsid w:val="0013675E"/>
    <w:rsid w:val="0014173B"/>
    <w:rsid w:val="001829CA"/>
    <w:rsid w:val="001870E6"/>
    <w:rsid w:val="0019789E"/>
    <w:rsid w:val="001B7570"/>
    <w:rsid w:val="002553A5"/>
    <w:rsid w:val="00272FAB"/>
    <w:rsid w:val="002D18C4"/>
    <w:rsid w:val="002E0090"/>
    <w:rsid w:val="0032387D"/>
    <w:rsid w:val="00352B57"/>
    <w:rsid w:val="00364461"/>
    <w:rsid w:val="003A665A"/>
    <w:rsid w:val="003B153A"/>
    <w:rsid w:val="003B62E1"/>
    <w:rsid w:val="003C04EE"/>
    <w:rsid w:val="003F7A63"/>
    <w:rsid w:val="00421621"/>
    <w:rsid w:val="004837C1"/>
    <w:rsid w:val="00486860"/>
    <w:rsid w:val="004A2CEC"/>
    <w:rsid w:val="004E2B0E"/>
    <w:rsid w:val="00555D85"/>
    <w:rsid w:val="005B2683"/>
    <w:rsid w:val="005E20D6"/>
    <w:rsid w:val="00612BE4"/>
    <w:rsid w:val="0063717A"/>
    <w:rsid w:val="006521BA"/>
    <w:rsid w:val="006A46EF"/>
    <w:rsid w:val="00730F99"/>
    <w:rsid w:val="00790D4D"/>
    <w:rsid w:val="007E647C"/>
    <w:rsid w:val="008060FF"/>
    <w:rsid w:val="008937DD"/>
    <w:rsid w:val="008D004A"/>
    <w:rsid w:val="009002B6"/>
    <w:rsid w:val="00931CF4"/>
    <w:rsid w:val="00935C2A"/>
    <w:rsid w:val="009F298A"/>
    <w:rsid w:val="009F663E"/>
    <w:rsid w:val="009F6C36"/>
    <w:rsid w:val="00A57C13"/>
    <w:rsid w:val="00A968EB"/>
    <w:rsid w:val="00B02470"/>
    <w:rsid w:val="00B20108"/>
    <w:rsid w:val="00B20F73"/>
    <w:rsid w:val="00B46EA7"/>
    <w:rsid w:val="00B50E06"/>
    <w:rsid w:val="00B57225"/>
    <w:rsid w:val="00B7437A"/>
    <w:rsid w:val="00BB72EA"/>
    <w:rsid w:val="00C07ED1"/>
    <w:rsid w:val="00C153A3"/>
    <w:rsid w:val="00C54A1D"/>
    <w:rsid w:val="00C71B77"/>
    <w:rsid w:val="00C74F74"/>
    <w:rsid w:val="00C814CC"/>
    <w:rsid w:val="00CD2E7F"/>
    <w:rsid w:val="00D34533"/>
    <w:rsid w:val="00D756F3"/>
    <w:rsid w:val="00D95F2A"/>
    <w:rsid w:val="00DA3332"/>
    <w:rsid w:val="00DE3961"/>
    <w:rsid w:val="00DE7421"/>
    <w:rsid w:val="00E63EF4"/>
    <w:rsid w:val="00E8378C"/>
    <w:rsid w:val="00F5006B"/>
    <w:rsid w:val="00F827CE"/>
    <w:rsid w:val="00FA7C03"/>
    <w:rsid w:val="00FC7E2D"/>
    <w:rsid w:val="00FE6F4A"/>
    <w:rsid w:val="00FF7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791B3A"/>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PVIS-1952867834-1071</_dlc_DocId>
    <_dlc_DocIdUrl xmlns="58896280-883f-49e1-8f2c-86b01e3ff616">
      <Url>https://projektai.intranet.litgrid.eu/PWA/HARMONY%20link%20jungties%20statyba/_layouts/15/DocIdRedir.aspx?ID=PVIS-1952867834-1071</Url>
      <Description>PVIS-1952867834-1071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1525BFBE-D9E6-4C16-9983-415DAD755B03}">
  <ds:schemaRefs>
    <ds:schemaRef ds:uri="http://schemas.openxmlformats.org/officeDocument/2006/bibliography"/>
  </ds:schemaRefs>
</ds:datastoreItem>
</file>

<file path=customXml/itemProps2.xml><?xml version="1.0" encoding="utf-8"?>
<ds:datastoreItem xmlns:ds="http://schemas.openxmlformats.org/officeDocument/2006/customXml" ds:itemID="{AF755193-844A-4E10-91D7-23E476C00C5E}"/>
</file>

<file path=customXml/itemProps3.xml><?xml version="1.0" encoding="utf-8"?>
<ds:datastoreItem xmlns:ds="http://schemas.openxmlformats.org/officeDocument/2006/customXml" ds:itemID="{AAA5DAA6-04B5-4339-AA44-FB083B0DFDCC}"/>
</file>

<file path=customXml/itemProps4.xml><?xml version="1.0" encoding="utf-8"?>
<ds:datastoreItem xmlns:ds="http://schemas.openxmlformats.org/officeDocument/2006/customXml" ds:itemID="{A7E2BA1E-6EAF-4004-9F20-FD1E69262343}"/>
</file>

<file path=customXml/itemProps5.xml><?xml version="1.0" encoding="utf-8"?>
<ds:datastoreItem xmlns:ds="http://schemas.openxmlformats.org/officeDocument/2006/customXml" ds:itemID="{C52B6070-B42E-4DEF-8A46-9C19D51AEF45}"/>
</file>

<file path=docProps/app.xml><?xml version="1.0" encoding="utf-8"?>
<Properties xmlns="http://schemas.openxmlformats.org/officeDocument/2006/extended-properties" xmlns:vt="http://schemas.openxmlformats.org/officeDocument/2006/docPropsVTypes">
  <Template>Normal</Template>
  <TotalTime>206</TotalTime>
  <Pages>4</Pages>
  <Words>2817</Words>
  <Characters>1607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58</cp:revision>
  <dcterms:created xsi:type="dcterms:W3CDTF">2016-03-29T09:00:00Z</dcterms:created>
  <dcterms:modified xsi:type="dcterms:W3CDTF">2021-06-15T07:24:00Z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d08493ac-c96d-47c6-9050-448aa741dc89</vt:lpwstr>
  </property>
  <property fmtid="{D5CDD505-2E9C-101B-9397-08002B2CF9AE}" pid="3" name="ContentTypeId">
    <vt:lpwstr>0x01010066872F3CC8F7D84995438B893169A0800200A2740C3BBF8D034B9228346310E0A92B</vt:lpwstr>
  </property>
</Properties>
</file>